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2113" w14:textId="77777777" w:rsidR="00F926F6" w:rsidRDefault="00CE10A6" w:rsidP="001D3646">
      <w:pPr>
        <w:pStyle w:val="Name"/>
      </w:pPr>
      <w:r>
        <w:t xml:space="preserve">Recorded Consultation Assessment (RCA) </w:t>
      </w:r>
    </w:p>
    <w:sdt>
      <w:sdtPr>
        <w:id w:val="-1179423465"/>
        <w:placeholder>
          <w:docPart w:val="7848CE08D467A4468B07C0F8ECDA7A10"/>
        </w:placeholder>
        <w:temporary/>
        <w:showingPlcHdr/>
        <w15:appearance w15:val="hidden"/>
      </w:sdtPr>
      <w:sdtEndPr/>
      <w:sdtContent>
        <w:p w14:paraId="056488CE" w14:textId="77777777" w:rsidR="00F926F6" w:rsidRDefault="001D3646">
          <w:pPr>
            <w:pStyle w:val="Heading1"/>
          </w:pPr>
          <w:r>
            <w:rPr>
              <w:lang w:val="en-GB" w:bidi="en-GB"/>
            </w:rPr>
            <w:t>Objective</w:t>
          </w:r>
        </w:p>
      </w:sdtContent>
    </w:sdt>
    <w:p w14:paraId="7CE0FC55" w14:textId="358B9BEA" w:rsidR="00F926F6" w:rsidRDefault="006C3C9F">
      <w:r>
        <w:t xml:space="preserve">A guide for </w:t>
      </w:r>
      <w:r w:rsidR="00D41F6A">
        <w:t>trainers</w:t>
      </w:r>
    </w:p>
    <w:p w14:paraId="5E3D3D3E" w14:textId="77777777" w:rsidR="00F926F6" w:rsidRDefault="00CE10A6">
      <w:pPr>
        <w:pStyle w:val="Heading1"/>
      </w:pPr>
      <w:r>
        <w:t xml:space="preserve">THE </w:t>
      </w:r>
      <w:r w:rsidR="00AB0D3A">
        <w:t xml:space="preserve">RCA </w:t>
      </w:r>
      <w:r>
        <w:t>Assessment</w:t>
      </w:r>
    </w:p>
    <w:p w14:paraId="6E6350CF" w14:textId="77777777" w:rsidR="00F926F6" w:rsidRDefault="00CE10A6">
      <w:r>
        <w:t>A summative assessment of a doctor’s ability to integrate and apply clinica</w:t>
      </w:r>
      <w:r w:rsidR="00053672">
        <w:t>l</w:t>
      </w:r>
      <w:r>
        <w:t>, professional, communication and practical skills</w:t>
      </w:r>
    </w:p>
    <w:p w14:paraId="731FF481" w14:textId="77777777" w:rsidR="00053672" w:rsidRDefault="00CE10A6" w:rsidP="00053672">
      <w:pPr>
        <w:pStyle w:val="ListParagraph"/>
        <w:numPr>
          <w:ilvl w:val="0"/>
          <w:numId w:val="15"/>
        </w:numPr>
      </w:pPr>
      <w:r>
        <w:t xml:space="preserve">13 recorded consultations submitted onto Fourteen Fish.  Can be all telephone, all </w:t>
      </w:r>
      <w:proofErr w:type="gramStart"/>
      <w:r>
        <w:t>video</w:t>
      </w:r>
      <w:proofErr w:type="gramEnd"/>
      <w:r>
        <w:t xml:space="preserve"> or all face-to-face consultations – most likely a combination.  Allows for trainees working from home</w:t>
      </w:r>
    </w:p>
    <w:p w14:paraId="2BF3FADE" w14:textId="77777777" w:rsidR="00053672" w:rsidRDefault="00CE10A6" w:rsidP="00053672">
      <w:pPr>
        <w:pStyle w:val="ListParagraph"/>
        <w:ind w:left="720"/>
      </w:pPr>
      <w:r>
        <w:t xml:space="preserve"> </w:t>
      </w:r>
    </w:p>
    <w:p w14:paraId="5E5CCF09" w14:textId="4A51775A" w:rsidR="0060210D" w:rsidRDefault="00CE10A6" w:rsidP="008D5049">
      <w:pPr>
        <w:pStyle w:val="ListParagraph"/>
        <w:spacing w:after="120"/>
        <w:ind w:left="720"/>
      </w:pPr>
      <w:r>
        <w:t xml:space="preserve">Recording cannot be edited – continuous </w:t>
      </w:r>
      <w:proofErr w:type="gramStart"/>
      <w:r>
        <w:t>1</w:t>
      </w:r>
      <w:r w:rsidR="00D704BA">
        <w:t>2</w:t>
      </w:r>
      <w:r>
        <w:t xml:space="preserve"> minute</w:t>
      </w:r>
      <w:proofErr w:type="gramEnd"/>
      <w:r>
        <w:t xml:space="preserve"> recording, excludes time for consent.</w:t>
      </w:r>
      <w:r w:rsidR="00053672">
        <w:t xml:space="preserve">  Cannot rely on previous videos (GDPR &amp; previous usage for COT assessments).  Each video marked by at least one examiner independently</w:t>
      </w:r>
    </w:p>
    <w:p w14:paraId="0DA94F4E" w14:textId="77777777" w:rsidR="006C3C9F" w:rsidRDefault="006C3C9F" w:rsidP="008D5049">
      <w:pPr>
        <w:pStyle w:val="ListParagraph"/>
        <w:spacing w:after="120"/>
        <w:ind w:left="720"/>
      </w:pPr>
    </w:p>
    <w:p w14:paraId="76907577" w14:textId="77777777" w:rsidR="00CE10A6" w:rsidRDefault="00CE10A6" w:rsidP="00053672">
      <w:pPr>
        <w:pStyle w:val="ListParagraph"/>
        <w:numPr>
          <w:ilvl w:val="0"/>
          <w:numId w:val="14"/>
        </w:numPr>
      </w:pPr>
      <w:r>
        <w:t>Tests the same competencies and curriculum areas as the CSA and assessed at the same standard.  Assessed in 3 domains (Data Gathering, Clinical Management and Interpersonal Skills) as Clear Pass, Pass, Fail or Clear Fail</w:t>
      </w:r>
    </w:p>
    <w:p w14:paraId="1EF74FB1" w14:textId="77777777" w:rsidR="008A451F" w:rsidRDefault="008A451F" w:rsidP="008A451F">
      <w:pPr>
        <w:pStyle w:val="ListParagraph"/>
        <w:ind w:left="720"/>
      </w:pPr>
    </w:p>
    <w:p w14:paraId="10B8FDB7" w14:textId="5B9F441E" w:rsidR="008A451F" w:rsidRDefault="006C3C9F" w:rsidP="008A451F">
      <w:pPr>
        <w:pStyle w:val="ListParagraph"/>
        <w:numPr>
          <w:ilvl w:val="0"/>
          <w:numId w:val="14"/>
        </w:numPr>
      </w:pPr>
      <w:r>
        <w:t xml:space="preserve">The July and August 2020 sittings did not count towards the maximum 4 </w:t>
      </w:r>
      <w:proofErr w:type="gramStart"/>
      <w:r>
        <w:t>attempts</w:t>
      </w:r>
      <w:proofErr w:type="gramEnd"/>
      <w:r>
        <w:t xml:space="preserve"> but subsequent attempts do – trainee guidance and discussion on appropriate timing to take the exam is </w:t>
      </w:r>
      <w:r w:rsidR="006F4BBB">
        <w:t xml:space="preserve">advisable </w:t>
      </w:r>
    </w:p>
    <w:p w14:paraId="6E9A6AB6" w14:textId="77777777" w:rsidR="006C3C9F" w:rsidRDefault="006C3C9F" w:rsidP="009271DE">
      <w:pPr>
        <w:pStyle w:val="ListParagraph"/>
      </w:pPr>
    </w:p>
    <w:p w14:paraId="31067FFA" w14:textId="1078E77C" w:rsidR="006C3C9F" w:rsidRPr="00B67F7A" w:rsidRDefault="006C3C9F" w:rsidP="00B67F7A">
      <w:pPr>
        <w:pStyle w:val="ListParagraph"/>
        <w:numPr>
          <w:ilvl w:val="0"/>
          <w:numId w:val="14"/>
        </w:numPr>
      </w:pPr>
      <w:r>
        <w:t>From November 2020 onwards, it will be mandatory to submit cases from across the GP curriculum that include: a child, an elderly person, a mental health problem and specific clinical problems</w:t>
      </w:r>
      <w:r w:rsidR="008E34DA">
        <w:t xml:space="preserve">.  See RCGP website: </w:t>
      </w:r>
      <w:r w:rsidR="008E34DA" w:rsidRPr="00B67F7A">
        <w:rPr>
          <w:b/>
          <w:bCs/>
          <w:color w:val="C00000"/>
        </w:rPr>
        <w:t xml:space="preserve"> </w:t>
      </w:r>
      <w:hyperlink r:id="rId8" w:history="1">
        <w:r w:rsidR="00B67F7A" w:rsidRPr="00B67F7A">
          <w:rPr>
            <w:rStyle w:val="Hyperlink"/>
            <w:b/>
            <w:bCs/>
          </w:rPr>
          <w:t>Mandatory Case Selection</w:t>
        </w:r>
      </w:hyperlink>
    </w:p>
    <w:p w14:paraId="250DE8B3" w14:textId="77777777" w:rsidR="00B67F7A" w:rsidRDefault="00B67F7A" w:rsidP="00B67F7A">
      <w:pPr>
        <w:pStyle w:val="ListParagraph"/>
      </w:pPr>
    </w:p>
    <w:p w14:paraId="09553639" w14:textId="77777777" w:rsidR="00B67F7A" w:rsidRDefault="00B67F7A" w:rsidP="00B67F7A">
      <w:pPr>
        <w:pStyle w:val="ListParagraph"/>
        <w:ind w:left="720"/>
      </w:pPr>
    </w:p>
    <w:p w14:paraId="78640AFD" w14:textId="3FE519A2" w:rsidR="006C3C9F" w:rsidRDefault="006C3C9F" w:rsidP="008A451F">
      <w:pPr>
        <w:pStyle w:val="ListParagraph"/>
        <w:numPr>
          <w:ilvl w:val="0"/>
          <w:numId w:val="14"/>
        </w:numPr>
      </w:pPr>
      <w:r>
        <w:t>Keep up to date with the RCGP RCA website as new guidance continues to emerge – particular</w:t>
      </w:r>
      <w:r w:rsidR="006F4BBB">
        <w:t xml:space="preserve">ly </w:t>
      </w:r>
      <w:r>
        <w:t xml:space="preserve">review the Candidate Handbook, RCA </w:t>
      </w:r>
      <w:proofErr w:type="gramStart"/>
      <w:r>
        <w:t>FAQs</w:t>
      </w:r>
      <w:proofErr w:type="gramEnd"/>
      <w:r>
        <w:t xml:space="preserve"> and policy document (links can be found at the end)</w:t>
      </w:r>
    </w:p>
    <w:p w14:paraId="23EA02BD" w14:textId="77777777" w:rsidR="00F53C0B" w:rsidRDefault="00F53C0B" w:rsidP="00F53C0B">
      <w:pPr>
        <w:pStyle w:val="ListParagraph"/>
      </w:pPr>
    </w:p>
    <w:p w14:paraId="08292151" w14:textId="77777777" w:rsidR="00F926F6" w:rsidRDefault="00053672">
      <w:pPr>
        <w:pStyle w:val="Heading1"/>
      </w:pPr>
      <w:r>
        <w:lastRenderedPageBreak/>
        <w:t>The recording</w:t>
      </w:r>
    </w:p>
    <w:p w14:paraId="2CEFCF8F" w14:textId="77777777" w:rsidR="00053672" w:rsidRDefault="00053672" w:rsidP="00053672">
      <w:pPr>
        <w:pStyle w:val="ListParagraph"/>
        <w:numPr>
          <w:ilvl w:val="0"/>
          <w:numId w:val="16"/>
        </w:numPr>
      </w:pPr>
      <w:r>
        <w:t xml:space="preserve">Trainee and patient clearly visible </w:t>
      </w:r>
      <w:r w:rsidR="008A451F">
        <w:t xml:space="preserve">where appropriate </w:t>
      </w:r>
      <w:r>
        <w:t>with good sound quality</w:t>
      </w:r>
    </w:p>
    <w:p w14:paraId="06FA5E18" w14:textId="77777777" w:rsidR="00AB0D3A" w:rsidRDefault="00AB0D3A" w:rsidP="00AB0D3A">
      <w:pPr>
        <w:pStyle w:val="ListParagraph"/>
        <w:ind w:left="720"/>
      </w:pPr>
    </w:p>
    <w:p w14:paraId="79747A9D" w14:textId="3FE325CD" w:rsidR="00B13D42" w:rsidRPr="008768DC" w:rsidRDefault="00B13D42" w:rsidP="009271DE">
      <w:pPr>
        <w:pStyle w:val="ListParagraph"/>
        <w:numPr>
          <w:ilvl w:val="0"/>
          <w:numId w:val="20"/>
        </w:numPr>
        <w:rPr>
          <w:b/>
          <w:bCs/>
        </w:rPr>
      </w:pPr>
      <w:r>
        <w:t xml:space="preserve">Cases are submitted to the Fourteen Fish Platform and there is a lot of guidance on how to do this on their help pages </w:t>
      </w:r>
      <w:hyperlink r:id="rId9" w:history="1">
        <w:r w:rsidRPr="00D20AD7">
          <w:rPr>
            <w:rStyle w:val="Hyperlink"/>
            <w:rFonts w:cs="Tahoma (Body CS)"/>
            <w:b/>
            <w:bCs/>
            <w:color w:val="C00000"/>
          </w:rPr>
          <w:t>Fourteen Fish Guidance on Recordings</w:t>
        </w:r>
      </w:hyperlink>
    </w:p>
    <w:p w14:paraId="082DEEDC" w14:textId="77777777" w:rsidR="008768DC" w:rsidRPr="008768DC" w:rsidRDefault="008768DC" w:rsidP="008768DC">
      <w:pPr>
        <w:ind w:left="360"/>
        <w:rPr>
          <w:b/>
          <w:bCs/>
        </w:rPr>
      </w:pPr>
    </w:p>
    <w:p w14:paraId="3F01B756" w14:textId="038F876D" w:rsidR="008768DC" w:rsidRDefault="008768DC" w:rsidP="008768DC">
      <w:pPr>
        <w:pStyle w:val="ListParagraph"/>
        <w:numPr>
          <w:ilvl w:val="0"/>
          <w:numId w:val="20"/>
        </w:numPr>
      </w:pPr>
      <w:r>
        <w:t xml:space="preserve">If trainees record on platforms other than Fourteen </w:t>
      </w:r>
      <w:proofErr w:type="gramStart"/>
      <w:r>
        <w:t>Fish</w:t>
      </w:r>
      <w:proofErr w:type="gramEnd"/>
      <w:r>
        <w:t xml:space="preserve"> they will need to upload their submission to the Fourteen Fish website.  Practices should ensure recordings are handled in accordance </w:t>
      </w:r>
      <w:r w:rsidRPr="008200A3">
        <w:rPr>
          <w:b/>
          <w:bCs/>
        </w:rPr>
        <w:t>with GDPR regulations</w:t>
      </w:r>
      <w:r>
        <w:t xml:space="preserve"> and care should be taken to ensure this is maintained including systems for data transfer</w:t>
      </w:r>
      <w:r w:rsidR="002F73E3">
        <w:t xml:space="preserve"> during any upload process</w:t>
      </w:r>
    </w:p>
    <w:p w14:paraId="4CF278D0" w14:textId="77777777" w:rsidR="001F3D15" w:rsidRDefault="001F3D15" w:rsidP="001F3D15">
      <w:pPr>
        <w:pStyle w:val="ListParagraph"/>
      </w:pPr>
    </w:p>
    <w:p w14:paraId="283D2649" w14:textId="7BB2300B" w:rsidR="001F3D15" w:rsidRDefault="001F3D15" w:rsidP="001F3D15">
      <w:pPr>
        <w:pStyle w:val="ListParagraph"/>
        <w:numPr>
          <w:ilvl w:val="0"/>
          <w:numId w:val="20"/>
        </w:numPr>
      </w:pPr>
      <w:r>
        <w:t xml:space="preserve">Supervisors will need to </w:t>
      </w:r>
      <w:r w:rsidRPr="008200A3">
        <w:rPr>
          <w:b/>
          <w:bCs/>
        </w:rPr>
        <w:t>authenticate the recordings</w:t>
      </w:r>
      <w:r>
        <w:t xml:space="preserve"> for final submission by verifying that the recording is between the trainee and a patient</w:t>
      </w:r>
      <w:r w:rsidR="006F4BBB">
        <w:t>,</w:t>
      </w:r>
      <w:r>
        <w:t xml:space="preserve"> on </w:t>
      </w:r>
      <w:r w:rsidR="006F4BBB">
        <w:t xml:space="preserve">the </w:t>
      </w:r>
      <w:r>
        <w:t>Fourteen Fish</w:t>
      </w:r>
      <w:r w:rsidR="006F4BBB">
        <w:t xml:space="preserve"> platform</w:t>
      </w:r>
    </w:p>
    <w:p w14:paraId="4DF87A96" w14:textId="399AAE77" w:rsidR="00F53C0B" w:rsidRDefault="00F53C0B" w:rsidP="00AA5141"/>
    <w:p w14:paraId="1DEB4DA3" w14:textId="7DEA179E" w:rsidR="00AA4647" w:rsidRDefault="00AA5141" w:rsidP="00254F25">
      <w:pPr>
        <w:pStyle w:val="ListParagraph"/>
        <w:numPr>
          <w:ilvl w:val="0"/>
          <w:numId w:val="20"/>
        </w:numPr>
      </w:pPr>
      <w:r>
        <w:t xml:space="preserve">Trainees can share their Fourteen Fish videos with you to watch.  You will be able to annotate this with comments if you wish  </w:t>
      </w:r>
    </w:p>
    <w:p w14:paraId="488A2FD9" w14:textId="77777777" w:rsidR="00004A45" w:rsidRDefault="00004A45" w:rsidP="00004A45">
      <w:pPr>
        <w:pStyle w:val="ListParagraph"/>
      </w:pPr>
    </w:p>
    <w:p w14:paraId="1A22EA7B" w14:textId="52ECB0B1" w:rsidR="00004A45" w:rsidRDefault="00004A45" w:rsidP="00254F25">
      <w:pPr>
        <w:pStyle w:val="ListParagraph"/>
        <w:numPr>
          <w:ilvl w:val="0"/>
          <w:numId w:val="20"/>
        </w:numPr>
      </w:pPr>
      <w:r>
        <w:t>Suggest trainees only share videos with you that they have already watched and through their self-assessment have identified as their best or if they would like guidance on recurrent problem areas in the consultation</w:t>
      </w:r>
    </w:p>
    <w:p w14:paraId="36C3B0C0" w14:textId="77777777" w:rsidR="00004A45" w:rsidRDefault="00004A45" w:rsidP="00004A45">
      <w:pPr>
        <w:pStyle w:val="ListParagraph"/>
      </w:pPr>
    </w:p>
    <w:p w14:paraId="5DD79D49" w14:textId="19FEEB02" w:rsidR="00AB0D3A" w:rsidRPr="000864F7" w:rsidRDefault="008A451F" w:rsidP="00004A45">
      <w:pPr>
        <w:pStyle w:val="ListParagraph"/>
        <w:numPr>
          <w:ilvl w:val="0"/>
          <w:numId w:val="20"/>
        </w:numPr>
      </w:pPr>
      <w:r>
        <w:t xml:space="preserve">All recording needs patient consent (before and after) </w:t>
      </w:r>
      <w:r w:rsidR="00B13D42">
        <w:t>– refer trainees to the RCA Consent document for guidance</w:t>
      </w:r>
      <w:r w:rsidR="00AA4647">
        <w:t>:</w:t>
      </w:r>
      <w:r w:rsidR="00B13D42">
        <w:t xml:space="preserve"> </w:t>
      </w:r>
      <w:hyperlink r:id="rId10" w:history="1">
        <w:r w:rsidR="00AA4647" w:rsidRPr="00004A45">
          <w:rPr>
            <w:rStyle w:val="Hyperlink"/>
            <w:rFonts w:cs="Tahoma (Body CS)"/>
            <w:b/>
            <w:bCs/>
            <w:color w:val="C00000"/>
          </w:rPr>
          <w:t>Guidance on consent</w:t>
        </w:r>
      </w:hyperlink>
    </w:p>
    <w:p w14:paraId="52E28C7A" w14:textId="77777777" w:rsidR="000864F7" w:rsidRDefault="000864F7" w:rsidP="000864F7">
      <w:pPr>
        <w:pStyle w:val="ListParagraph"/>
      </w:pPr>
    </w:p>
    <w:p w14:paraId="638A7CCC" w14:textId="325C81F3" w:rsidR="000864F7" w:rsidRPr="007A7FAE" w:rsidRDefault="000864F7" w:rsidP="000864F7">
      <w:pPr>
        <w:ind w:left="360"/>
      </w:pPr>
    </w:p>
    <w:p w14:paraId="01206489" w14:textId="2D19ADF6" w:rsidR="007A7FAE" w:rsidRDefault="00E1371D" w:rsidP="007A7FAE">
      <w:pPr>
        <w:pStyle w:val="ListParagraph"/>
      </w:pPr>
      <w:r>
        <w:t xml:space="preserve">Be aware of RCGP guidance on </w:t>
      </w:r>
      <w:r w:rsidRPr="008D5049">
        <w:rPr>
          <w:b/>
          <w:bCs/>
        </w:rPr>
        <w:t>breaches in exam regulations</w:t>
      </w:r>
      <w:r>
        <w:t>:</w:t>
      </w:r>
    </w:p>
    <w:p w14:paraId="5B4512E3" w14:textId="03F2629D" w:rsidR="00E1371D" w:rsidRDefault="00E1371D" w:rsidP="007A7FAE">
      <w:pPr>
        <w:pStyle w:val="ListParagraph"/>
      </w:pPr>
    </w:p>
    <w:p w14:paraId="12807BEB" w14:textId="6E7DBF3B" w:rsidR="00E1371D" w:rsidRPr="00E1371D" w:rsidRDefault="00E1371D" w:rsidP="00E1371D">
      <w:pPr>
        <w:pStyle w:val="ListParagraph"/>
        <w:numPr>
          <w:ilvl w:val="0"/>
          <w:numId w:val="33"/>
        </w:numPr>
        <w:rPr>
          <w:lang w:val="en-GB"/>
        </w:rPr>
      </w:pPr>
      <w:r w:rsidRPr="00E1371D">
        <w:t>One of the cases has not met the mandatory case selection criteria selected by the trainee and no other consultation w</w:t>
      </w:r>
      <w:r w:rsidR="006F4BBB">
        <w:t xml:space="preserve">as </w:t>
      </w:r>
      <w:r w:rsidRPr="00E1371D">
        <w:t>deemed to have done this – Zero Marks</w:t>
      </w:r>
    </w:p>
    <w:p w14:paraId="661E9BF1" w14:textId="18FAF0F5" w:rsidR="00E1371D" w:rsidRPr="00440AFF" w:rsidRDefault="00E1371D" w:rsidP="00E1371D">
      <w:pPr>
        <w:pStyle w:val="ListParagraph"/>
        <w:numPr>
          <w:ilvl w:val="0"/>
          <w:numId w:val="33"/>
        </w:numPr>
        <w:rPr>
          <w:lang w:val="en-GB"/>
        </w:rPr>
      </w:pPr>
      <w:r w:rsidRPr="00E1371D">
        <w:t>If 2 cases have not met the mandatory case selection criteria as above – Whole Submission Rejected</w:t>
      </w:r>
    </w:p>
    <w:p w14:paraId="6DFAA318" w14:textId="59F5455F" w:rsidR="00440AFF" w:rsidRPr="00E1371D" w:rsidRDefault="00440AFF" w:rsidP="00E1371D">
      <w:pPr>
        <w:pStyle w:val="ListParagraph"/>
        <w:numPr>
          <w:ilvl w:val="0"/>
          <w:numId w:val="33"/>
        </w:numPr>
        <w:rPr>
          <w:lang w:val="en-GB"/>
        </w:rPr>
      </w:pPr>
      <w:r>
        <w:t>A consultation in which clothing equivalent to the ‘swimsuit area’ is removed and captured on a visual recording must not be submitted for assessment – Zero Marks</w:t>
      </w:r>
    </w:p>
    <w:p w14:paraId="310B2231" w14:textId="7B0DE03A" w:rsidR="00E1371D" w:rsidRPr="004A4EA6" w:rsidRDefault="00E1371D" w:rsidP="00E1371D">
      <w:pPr>
        <w:pStyle w:val="ListParagraph"/>
        <w:numPr>
          <w:ilvl w:val="0"/>
          <w:numId w:val="33"/>
        </w:numPr>
        <w:rPr>
          <w:lang w:val="en-GB"/>
        </w:rPr>
      </w:pPr>
      <w:r w:rsidRPr="00E1371D">
        <w:t>Case with a pause in the recording – Zero Marks</w:t>
      </w:r>
    </w:p>
    <w:p w14:paraId="5E6013BE" w14:textId="5365D04A" w:rsidR="004A4EA6" w:rsidRPr="008D5049" w:rsidRDefault="004A4EA6" w:rsidP="00E1371D">
      <w:pPr>
        <w:pStyle w:val="ListParagraph"/>
        <w:numPr>
          <w:ilvl w:val="0"/>
          <w:numId w:val="33"/>
        </w:numPr>
        <w:rPr>
          <w:lang w:val="en-GB"/>
        </w:rPr>
      </w:pPr>
      <w:r>
        <w:t xml:space="preserve">If there are 2 </w:t>
      </w:r>
      <w:proofErr w:type="gramStart"/>
      <w:r>
        <w:t>breaches</w:t>
      </w:r>
      <w:proofErr w:type="gramEnd"/>
      <w:r>
        <w:t xml:space="preserve"> then the whole submission will be rejected</w:t>
      </w:r>
    </w:p>
    <w:p w14:paraId="55B9B67F" w14:textId="78FF85DF" w:rsidR="0060210D" w:rsidRDefault="0060210D" w:rsidP="0060210D">
      <w:pPr>
        <w:spacing w:after="0" w:line="240" w:lineRule="auto"/>
        <w:ind w:left="360"/>
      </w:pPr>
      <w:r w:rsidRPr="0060210D">
        <w:rPr>
          <w:lang w:val="en-GB"/>
        </w:rPr>
        <w:t xml:space="preserve">Where in doubt conduct all physical examinations </w:t>
      </w:r>
      <w:r w:rsidRPr="008D5049">
        <w:rPr>
          <w:i/>
          <w:iCs/>
          <w:lang w:val="en-GB"/>
        </w:rPr>
        <w:t>off camera</w:t>
      </w:r>
      <w:r w:rsidRPr="0060210D">
        <w:rPr>
          <w:i/>
          <w:iCs/>
          <w:lang w:val="en-GB"/>
        </w:rPr>
        <w:t xml:space="preserve"> ensuring that dialogue can be clearly heard</w:t>
      </w:r>
      <w:r w:rsidRPr="007F5C63">
        <w:rPr>
          <w:i/>
          <w:iCs/>
          <w:lang w:val="en-GB"/>
        </w:rPr>
        <w:t xml:space="preserve">. </w:t>
      </w:r>
    </w:p>
    <w:p w14:paraId="1079A2FB" w14:textId="256E1E13" w:rsidR="0060210D" w:rsidRDefault="0060210D" w:rsidP="0060210D">
      <w:pPr>
        <w:spacing w:after="0" w:line="240" w:lineRule="auto"/>
        <w:ind w:left="360"/>
      </w:pPr>
    </w:p>
    <w:p w14:paraId="7A46D307" w14:textId="0F15A334" w:rsidR="0060210D" w:rsidRDefault="0060210D" w:rsidP="00B67F7A">
      <w:pPr>
        <w:spacing w:after="0" w:line="240" w:lineRule="auto"/>
        <w:ind w:left="360"/>
      </w:pPr>
      <w:r>
        <w:t>Other FAQ</w:t>
      </w:r>
      <w:r w:rsidR="006F4BBB">
        <w:t>s</w:t>
      </w:r>
      <w:r>
        <w:t xml:space="preserve"> concerning mandatory cases</w:t>
      </w:r>
      <w:r w:rsidR="007F5C63">
        <w:t xml:space="preserve"> (please note these FAQ are not official RCGP FAQ but derived from our training community</w:t>
      </w:r>
      <w:r w:rsidR="006F4BBB">
        <w:t>):</w:t>
      </w:r>
    </w:p>
    <w:p w14:paraId="49D4E1F3" w14:textId="7DBFC653" w:rsidR="007F5C63" w:rsidRDefault="007F5C63" w:rsidP="006F4BBB">
      <w:pPr>
        <w:spacing w:after="0" w:line="240" w:lineRule="auto"/>
        <w:ind w:left="361"/>
      </w:pPr>
      <w:r>
        <w:lastRenderedPageBreak/>
        <w:t xml:space="preserve">Does a </w:t>
      </w:r>
      <w:proofErr w:type="gramStart"/>
      <w:r>
        <w:t>2 week</w:t>
      </w:r>
      <w:proofErr w:type="gramEnd"/>
      <w:r>
        <w:t xml:space="preserve"> rule referral count as a mandatory ‘urgent’ case? YES</w:t>
      </w:r>
    </w:p>
    <w:p w14:paraId="5D89574E" w14:textId="69FCDAC5" w:rsidR="007F5C63" w:rsidRDefault="007F5C63" w:rsidP="006F4BBB">
      <w:pPr>
        <w:spacing w:after="0" w:line="240" w:lineRule="auto"/>
        <w:ind w:left="361"/>
      </w:pPr>
      <w:r>
        <w:t>Can one case tick more than one of the mandatory criteria? YES</w:t>
      </w:r>
    </w:p>
    <w:p w14:paraId="5BAA58D7" w14:textId="311F24D8" w:rsidR="007F5C63" w:rsidRDefault="007F5C63" w:rsidP="0060210D">
      <w:pPr>
        <w:spacing w:after="0" w:line="240" w:lineRule="auto"/>
        <w:ind w:left="360"/>
      </w:pPr>
    </w:p>
    <w:p w14:paraId="12D54C29" w14:textId="36AD2B98" w:rsidR="007F5C63" w:rsidRPr="0060210D" w:rsidRDefault="007F5C63" w:rsidP="008D5049">
      <w:pPr>
        <w:spacing w:after="0" w:line="240" w:lineRule="auto"/>
        <w:ind w:left="360"/>
        <w:rPr>
          <w:rFonts w:ascii="Times New Roman" w:eastAsia="Times New Roman" w:hAnsi="Times New Roman" w:cs="Times New Roman"/>
          <w:color w:val="auto"/>
          <w:sz w:val="24"/>
          <w:szCs w:val="24"/>
          <w:lang w:val="en-GB" w:eastAsia="en-GB"/>
        </w:rPr>
      </w:pPr>
      <w:r>
        <w:t>PLEASE CHECK the RCGP RCA FAQ on a regular basis in case of updates</w:t>
      </w:r>
    </w:p>
    <w:p w14:paraId="7F2F5211" w14:textId="77777777" w:rsidR="00ED277C" w:rsidRPr="00AB0D3A" w:rsidRDefault="00ED277C" w:rsidP="008D5049"/>
    <w:p w14:paraId="6162D83C" w14:textId="77777777" w:rsidR="00F926F6" w:rsidRDefault="004D37DF">
      <w:pPr>
        <w:pStyle w:val="Heading1"/>
      </w:pPr>
      <w:r>
        <w:t>Trainee preparation</w:t>
      </w:r>
    </w:p>
    <w:p w14:paraId="280E6C7C" w14:textId="7E161F53" w:rsidR="00F926F6" w:rsidRDefault="00A51D77" w:rsidP="004D37DF">
      <w:pPr>
        <w:pStyle w:val="ListBullet"/>
      </w:pPr>
      <w:r>
        <w:t xml:space="preserve">Trainees can build up a library of cases on Fourteen Fish and </w:t>
      </w:r>
      <w:r w:rsidR="0080663E">
        <w:t>select 13 cases to submit</w:t>
      </w:r>
    </w:p>
    <w:p w14:paraId="4C64A019" w14:textId="77777777" w:rsidR="00AB0D3A" w:rsidRDefault="00AB0D3A" w:rsidP="00AB0D3A">
      <w:pPr>
        <w:pStyle w:val="ListBullet"/>
        <w:numPr>
          <w:ilvl w:val="0"/>
          <w:numId w:val="0"/>
        </w:numPr>
        <w:ind w:left="216"/>
      </w:pPr>
    </w:p>
    <w:p w14:paraId="4B5EAAC2" w14:textId="77777777" w:rsidR="004D37DF" w:rsidRDefault="004D37DF" w:rsidP="004D37DF">
      <w:pPr>
        <w:pStyle w:val="ListBullet"/>
      </w:pPr>
      <w:r>
        <w:t xml:space="preserve">Consider the </w:t>
      </w:r>
      <w:r w:rsidRPr="004F1D53">
        <w:rPr>
          <w:b/>
          <w:bCs/>
        </w:rPr>
        <w:t>types of consultation</w:t>
      </w:r>
      <w:r>
        <w:t xml:space="preserve"> individual trainees are doing (video/telephone/face-to-face) and </w:t>
      </w:r>
      <w:r w:rsidR="00594860">
        <w:t xml:space="preserve">any </w:t>
      </w:r>
      <w:r>
        <w:t xml:space="preserve">limitations of consulting method in ensuring </w:t>
      </w:r>
      <w:r w:rsidR="00594860">
        <w:t xml:space="preserve">appropriate </w:t>
      </w:r>
      <w:r>
        <w:t xml:space="preserve">case exposure </w:t>
      </w:r>
    </w:p>
    <w:p w14:paraId="5AAC01E3" w14:textId="77777777" w:rsidR="00AB0D3A" w:rsidRPr="004F1D53" w:rsidRDefault="00AB0D3A" w:rsidP="00AB0D3A">
      <w:pPr>
        <w:pStyle w:val="ListBullet"/>
        <w:numPr>
          <w:ilvl w:val="0"/>
          <w:numId w:val="0"/>
        </w:numPr>
        <w:ind w:left="216"/>
        <w:rPr>
          <w:b/>
          <w:bCs/>
        </w:rPr>
      </w:pPr>
    </w:p>
    <w:p w14:paraId="13D13AA2" w14:textId="2AB58669" w:rsidR="004D37DF" w:rsidRDefault="004D37DF" w:rsidP="004D37DF">
      <w:pPr>
        <w:pStyle w:val="ListBullet"/>
      </w:pPr>
      <w:r w:rsidRPr="004F1D53">
        <w:rPr>
          <w:b/>
          <w:bCs/>
        </w:rPr>
        <w:t xml:space="preserve">Consider </w:t>
      </w:r>
      <w:r w:rsidR="00B869D9">
        <w:rPr>
          <w:b/>
          <w:bCs/>
        </w:rPr>
        <w:t xml:space="preserve">mechanism of working within the surgery </w:t>
      </w:r>
      <w:r w:rsidR="00B869D9">
        <w:t xml:space="preserve">such as </w:t>
      </w:r>
      <w:r w:rsidRPr="009271DE">
        <w:t>pre</w:t>
      </w:r>
      <w:r>
        <w:t xml:space="preserve">-triage or electronic navigation prior to </w:t>
      </w:r>
      <w:r w:rsidR="00594860">
        <w:t>a</w:t>
      </w:r>
      <w:r>
        <w:t xml:space="preserve"> consultation - ensure this isn’t detrimental to the </w:t>
      </w:r>
      <w:r w:rsidR="00B869D9">
        <w:t xml:space="preserve">trainee’s </w:t>
      </w:r>
      <w:r>
        <w:t xml:space="preserve">consultation and </w:t>
      </w:r>
      <w:proofErr w:type="spellStart"/>
      <w:r>
        <w:t>u</w:t>
      </w:r>
      <w:r w:rsidR="00594860">
        <w:t>tilise</w:t>
      </w:r>
      <w:proofErr w:type="spellEnd"/>
      <w:r w:rsidR="00594860">
        <w:t xml:space="preserve"> these</w:t>
      </w:r>
      <w:r>
        <w:t xml:space="preserve"> systems to ensure appropriate case exposure</w:t>
      </w:r>
      <w:r w:rsidR="0080663E">
        <w:t xml:space="preserve"> </w:t>
      </w:r>
      <w:proofErr w:type="gramStart"/>
      <w:r w:rsidR="0080663E">
        <w:t>e</w:t>
      </w:r>
      <w:r w:rsidR="006F4BBB">
        <w:t>.</w:t>
      </w:r>
      <w:r w:rsidR="0080663E">
        <w:t>g</w:t>
      </w:r>
      <w:r w:rsidR="006F4BBB">
        <w:t>.</w:t>
      </w:r>
      <w:proofErr w:type="gramEnd"/>
      <w:r w:rsidR="0080663E">
        <w:t xml:space="preserve"> </w:t>
      </w:r>
      <w:r w:rsidR="00B869D9">
        <w:t>the t</w:t>
      </w:r>
      <w:r w:rsidR="00E41729">
        <w:t xml:space="preserve">rainee can be directed </w:t>
      </w:r>
      <w:r w:rsidR="006F4BBB">
        <w:t xml:space="preserve">to </w:t>
      </w:r>
      <w:r w:rsidR="00E41729">
        <w:t>more complex consultations or certain types by vetting information</w:t>
      </w:r>
    </w:p>
    <w:p w14:paraId="72591B30" w14:textId="77777777" w:rsidR="0096561E" w:rsidRDefault="0096561E" w:rsidP="0096561E">
      <w:pPr>
        <w:pStyle w:val="ListParagraph"/>
      </w:pPr>
    </w:p>
    <w:p w14:paraId="731B1DF4" w14:textId="10F2329A" w:rsidR="0096561E" w:rsidRDefault="0096561E" w:rsidP="004D37DF">
      <w:pPr>
        <w:pStyle w:val="ListBullet"/>
      </w:pPr>
      <w:r>
        <w:t xml:space="preserve">Trainee areas of </w:t>
      </w:r>
      <w:r w:rsidRPr="00350056">
        <w:rPr>
          <w:b/>
          <w:bCs/>
        </w:rPr>
        <w:t>reduced knowledge</w:t>
      </w:r>
      <w:r>
        <w:t xml:space="preserve"> should be identified and addressed.  The Fourteen Fish CSA and AKT packages are accessible for all trainees throughout their training</w:t>
      </w:r>
      <w:r w:rsidR="00497D92">
        <w:t xml:space="preserve">. Identify any gaps relating to any of the </w:t>
      </w:r>
      <w:r w:rsidR="00497D92" w:rsidRPr="00350056">
        <w:rPr>
          <w:b/>
          <w:bCs/>
        </w:rPr>
        <w:t>mandatory cases</w:t>
      </w:r>
      <w:r w:rsidR="00497D92">
        <w:t xml:space="preserve"> </w:t>
      </w:r>
      <w:r w:rsidR="00497D92" w:rsidRPr="00350056">
        <w:rPr>
          <w:i/>
          <w:iCs/>
        </w:rPr>
        <w:t>early</w:t>
      </w:r>
      <w:r w:rsidR="00497D92">
        <w:t xml:space="preserve"> </w:t>
      </w:r>
      <w:proofErr w:type="gramStart"/>
      <w:r w:rsidR="00497D92">
        <w:t>e</w:t>
      </w:r>
      <w:r w:rsidR="006F4BBB">
        <w:t>.</w:t>
      </w:r>
      <w:r w:rsidR="00497D92">
        <w:t>g.</w:t>
      </w:r>
      <w:proofErr w:type="gramEnd"/>
      <w:r w:rsidR="00497D92">
        <w:t xml:space="preserve"> Women’s health. </w:t>
      </w:r>
    </w:p>
    <w:p w14:paraId="5CC3122C" w14:textId="77777777" w:rsidR="00AB0D3A" w:rsidRDefault="00AB0D3A" w:rsidP="00AB0D3A">
      <w:pPr>
        <w:pStyle w:val="ListBullet"/>
        <w:numPr>
          <w:ilvl w:val="0"/>
          <w:numId w:val="0"/>
        </w:numPr>
      </w:pPr>
    </w:p>
    <w:p w14:paraId="6F08CA0E" w14:textId="0E61CB95" w:rsidR="00AB0D3A" w:rsidRDefault="00594860" w:rsidP="00B67F7A">
      <w:pPr>
        <w:pStyle w:val="ListBullet"/>
      </w:pPr>
      <w:r w:rsidRPr="004F1D53">
        <w:rPr>
          <w:b/>
          <w:bCs/>
        </w:rPr>
        <w:t>Problems new to the trainee</w:t>
      </w:r>
      <w:r>
        <w:t xml:space="preserve"> rather than</w:t>
      </w:r>
      <w:r w:rsidR="004D37DF">
        <w:t xml:space="preserve"> follow-ups more likely to be </w:t>
      </w:r>
      <w:r w:rsidR="00130BBB">
        <w:t>appropriate for submission</w:t>
      </w:r>
    </w:p>
    <w:p w14:paraId="1DBA43B0" w14:textId="5AC5F4AC" w:rsidR="005C1711" w:rsidRDefault="00130BBB" w:rsidP="00056DF9">
      <w:pPr>
        <w:pStyle w:val="ListBullet"/>
      </w:pPr>
      <w:r>
        <w:t xml:space="preserve">Consider </w:t>
      </w:r>
      <w:r w:rsidRPr="000101AB">
        <w:rPr>
          <w:b/>
          <w:bCs/>
        </w:rPr>
        <w:t>trainee wellbeing</w:t>
      </w:r>
      <w:r>
        <w:t xml:space="preserve"> – health, personal or practice issues.  Signpost for support to their Training Programme Director, Associate Dean and Lead Employer where needed</w:t>
      </w:r>
    </w:p>
    <w:p w14:paraId="7FD4B1E9" w14:textId="4DB6E92A" w:rsidR="005C1711" w:rsidRPr="00350056" w:rsidRDefault="005C1711" w:rsidP="004D37DF">
      <w:pPr>
        <w:pStyle w:val="ListBullet"/>
        <w:rPr>
          <w:i/>
          <w:iCs/>
        </w:rPr>
      </w:pPr>
      <w:r>
        <w:t>Consider addressing any issues with your trainee’s organizational skills in preparation for the exam and ensuring a detailed understanding of the assessment</w:t>
      </w:r>
      <w:r w:rsidR="00751129">
        <w:t xml:space="preserve"> – there is a lot of information on the RCGP </w:t>
      </w:r>
      <w:proofErr w:type="gramStart"/>
      <w:r w:rsidR="00751129">
        <w:t>website</w:t>
      </w:r>
      <w:proofErr w:type="gramEnd"/>
      <w:r w:rsidR="00751129">
        <w:t xml:space="preserve"> and </w:t>
      </w:r>
      <w:r w:rsidR="00751129" w:rsidRPr="00350056">
        <w:rPr>
          <w:i/>
          <w:iCs/>
        </w:rPr>
        <w:t>the</w:t>
      </w:r>
      <w:r w:rsidR="006F4BBB">
        <w:rPr>
          <w:i/>
          <w:iCs/>
        </w:rPr>
        <w:t xml:space="preserve"> trainee</w:t>
      </w:r>
      <w:r w:rsidR="00751129" w:rsidRPr="00350056">
        <w:rPr>
          <w:i/>
          <w:iCs/>
        </w:rPr>
        <w:t xml:space="preserve"> need</w:t>
      </w:r>
      <w:r w:rsidR="006F4BBB">
        <w:rPr>
          <w:i/>
          <w:iCs/>
        </w:rPr>
        <w:t>s</w:t>
      </w:r>
      <w:r w:rsidR="00751129" w:rsidRPr="00350056">
        <w:rPr>
          <w:i/>
          <w:iCs/>
        </w:rPr>
        <w:t xml:space="preserve"> to take time to read and digest this</w:t>
      </w:r>
    </w:p>
    <w:p w14:paraId="25E2FF3C" w14:textId="77777777" w:rsidR="00BB7226" w:rsidRDefault="00BB7226" w:rsidP="00056DF9">
      <w:pPr>
        <w:pStyle w:val="ListBullet"/>
        <w:numPr>
          <w:ilvl w:val="0"/>
          <w:numId w:val="0"/>
        </w:numPr>
      </w:pPr>
    </w:p>
    <w:p w14:paraId="21EC73C7" w14:textId="54090DC5" w:rsidR="00BB7226" w:rsidRDefault="00130BBB" w:rsidP="006F27BB">
      <w:pPr>
        <w:pStyle w:val="ListBullet"/>
        <w:numPr>
          <w:ilvl w:val="0"/>
          <w:numId w:val="0"/>
        </w:numPr>
        <w:ind w:left="216"/>
      </w:pPr>
      <w:r>
        <w:t xml:space="preserve">Consider </w:t>
      </w:r>
      <w:r w:rsidRPr="006F27BB">
        <w:rPr>
          <w:b/>
          <w:bCs/>
        </w:rPr>
        <w:t xml:space="preserve">recurrent </w:t>
      </w:r>
      <w:r w:rsidR="00594860" w:rsidRPr="006F27BB">
        <w:rPr>
          <w:b/>
          <w:bCs/>
        </w:rPr>
        <w:t xml:space="preserve">consultation skills </w:t>
      </w:r>
      <w:r w:rsidRPr="006F27BB">
        <w:rPr>
          <w:b/>
          <w:bCs/>
        </w:rPr>
        <w:t>problems</w:t>
      </w:r>
      <w:r>
        <w:t xml:space="preserve"> and address these </w:t>
      </w:r>
      <w:r w:rsidR="00A51D77">
        <w:t xml:space="preserve">- select themes for intervention to help to </w:t>
      </w:r>
      <w:proofErr w:type="spellStart"/>
      <w:r w:rsidR="00A51D77">
        <w:t>maximise</w:t>
      </w:r>
      <w:proofErr w:type="spellEnd"/>
      <w:r w:rsidR="00A51D77">
        <w:t xml:space="preserve"> improvement </w:t>
      </w:r>
      <w:proofErr w:type="gramStart"/>
      <w:r>
        <w:t>e</w:t>
      </w:r>
      <w:r w:rsidR="006F4BBB">
        <w:t>.</w:t>
      </w:r>
      <w:r>
        <w:t>g</w:t>
      </w:r>
      <w:r w:rsidR="006F4BBB">
        <w:t>.</w:t>
      </w:r>
      <w:proofErr w:type="gramEnd"/>
      <w:r w:rsidR="00E41729">
        <w:t xml:space="preserve"> consulting like a hospital doctor and failing to identify patient specific information in order to share management options</w:t>
      </w:r>
      <w:r w:rsidR="00497D92">
        <w:t xml:space="preserve">. </w:t>
      </w:r>
    </w:p>
    <w:p w14:paraId="444F6D34" w14:textId="7F47F109" w:rsidR="00BB7226" w:rsidRDefault="00A71E76" w:rsidP="00056DF9">
      <w:pPr>
        <w:pStyle w:val="ListBullet"/>
      </w:pPr>
      <w:r>
        <w:t xml:space="preserve">Remember that the examiner can’t see the patient’s medical </w:t>
      </w:r>
      <w:proofErr w:type="gramStart"/>
      <w:r>
        <w:t>record</w:t>
      </w:r>
      <w:proofErr w:type="gramEnd"/>
      <w:r>
        <w:t xml:space="preserve"> so all relevant important aspects need to be verbalized e</w:t>
      </w:r>
      <w:r w:rsidR="006F4BBB">
        <w:t>.</w:t>
      </w:r>
      <w:r>
        <w:t>g</w:t>
      </w:r>
      <w:r w:rsidR="006F4BBB">
        <w:t>.</w:t>
      </w:r>
      <w:r>
        <w:t xml:space="preserve"> allergies, medication, past medical history</w:t>
      </w:r>
    </w:p>
    <w:p w14:paraId="4D54ABCB" w14:textId="77777777" w:rsidR="00BB7226" w:rsidRDefault="00BB7226" w:rsidP="00BB7226">
      <w:pPr>
        <w:pStyle w:val="ListBullet"/>
        <w:numPr>
          <w:ilvl w:val="0"/>
          <w:numId w:val="0"/>
        </w:numPr>
        <w:ind w:left="216"/>
      </w:pPr>
    </w:p>
    <w:p w14:paraId="0014111B" w14:textId="31D17138" w:rsidR="00A71E76" w:rsidRDefault="00A71E76" w:rsidP="00130BBB">
      <w:pPr>
        <w:pStyle w:val="ListBullet"/>
      </w:pPr>
      <w:r>
        <w:t xml:space="preserve">The consultation needs to be fluent, </w:t>
      </w:r>
      <w:proofErr w:type="gramStart"/>
      <w:r>
        <w:t>natural</w:t>
      </w:r>
      <w:proofErr w:type="gramEnd"/>
      <w:r>
        <w:t xml:space="preserve"> and true – consultations should be in keeping with the current situation in light of the covid pandemic and appropriate for the method of consulting.  Examiners are all GPs and familiar with the current situation with respect </w:t>
      </w:r>
      <w:r w:rsidR="001A2919">
        <w:t>to</w:t>
      </w:r>
      <w:r>
        <w:t xml:space="preserve"> GP consultations </w:t>
      </w:r>
    </w:p>
    <w:p w14:paraId="18F8D614" w14:textId="77777777" w:rsidR="00BB7226" w:rsidRDefault="00BB7226" w:rsidP="00BB7226">
      <w:pPr>
        <w:pStyle w:val="ListBullet"/>
        <w:numPr>
          <w:ilvl w:val="0"/>
          <w:numId w:val="0"/>
        </w:numPr>
        <w:ind w:left="216"/>
      </w:pPr>
    </w:p>
    <w:p w14:paraId="7B4D99E9" w14:textId="21BF0EE7" w:rsidR="004B0BEA" w:rsidRDefault="004B0BEA" w:rsidP="00130BBB">
      <w:pPr>
        <w:pStyle w:val="ListBullet"/>
      </w:pPr>
      <w:r>
        <w:t xml:space="preserve">Ensure that multiple patient problems are all appropriately </w:t>
      </w:r>
      <w:r w:rsidR="00205D06">
        <w:t>handled</w:t>
      </w:r>
      <w:r w:rsidR="00497D92">
        <w:t xml:space="preserve">. </w:t>
      </w:r>
      <w:proofErr w:type="gramStart"/>
      <w:r w:rsidR="00497D92">
        <w:t>In particular if</w:t>
      </w:r>
      <w:proofErr w:type="gramEnd"/>
      <w:r w:rsidR="00497D92">
        <w:t xml:space="preserve"> 2 problems are presented, has the trainee managed to focus on the more important one for most </w:t>
      </w:r>
      <w:r w:rsidR="00350056">
        <w:t xml:space="preserve">of </w:t>
      </w:r>
      <w:r w:rsidR="00497D92">
        <w:t>the 1</w:t>
      </w:r>
      <w:r w:rsidR="006F27BB">
        <w:t xml:space="preserve">2 </w:t>
      </w:r>
      <w:r w:rsidR="00497D92">
        <w:t xml:space="preserve">minutes? If there are two problems each taking up </w:t>
      </w:r>
      <w:r w:rsidR="006F27BB">
        <w:t>6</w:t>
      </w:r>
      <w:r w:rsidR="00497D92">
        <w:t xml:space="preserve"> minutes, this is not a suitable consultation.</w:t>
      </w:r>
    </w:p>
    <w:p w14:paraId="35361182" w14:textId="77777777" w:rsidR="00E2215D" w:rsidRDefault="00E2215D" w:rsidP="009271DE">
      <w:pPr>
        <w:pStyle w:val="ListParagraph"/>
      </w:pPr>
    </w:p>
    <w:p w14:paraId="59E805DF" w14:textId="3034969E" w:rsidR="00E2215D" w:rsidRDefault="00D11555" w:rsidP="00D11555">
      <w:pPr>
        <w:pStyle w:val="ListBullet"/>
        <w:rPr>
          <w:lang w:val="en-GB" w:eastAsia="en-GB"/>
        </w:rPr>
      </w:pPr>
      <w:r w:rsidRPr="00D11555">
        <w:rPr>
          <w:lang w:val="en-GB" w:eastAsia="en-GB"/>
        </w:rPr>
        <w:t xml:space="preserve">Examiners need to see evidence of a competence to give appropriate credit for it when marking. </w:t>
      </w:r>
      <w:r w:rsidRPr="008D5049">
        <w:rPr>
          <w:b/>
          <w:bCs/>
          <w:lang w:val="en-GB" w:eastAsia="en-GB"/>
        </w:rPr>
        <w:t>Low c</w:t>
      </w:r>
      <w:r w:rsidR="006F27BB">
        <w:rPr>
          <w:b/>
          <w:bCs/>
          <w:lang w:val="en-GB" w:eastAsia="en-GB"/>
        </w:rPr>
        <w:t>omplexity</w:t>
      </w:r>
      <w:r w:rsidRPr="008D5049">
        <w:rPr>
          <w:b/>
          <w:bCs/>
          <w:lang w:val="en-GB" w:eastAsia="en-GB"/>
        </w:rPr>
        <w:t xml:space="preserve"> cases offer limited opportunities</w:t>
      </w:r>
      <w:r w:rsidRPr="00D11555">
        <w:rPr>
          <w:lang w:val="en-GB" w:eastAsia="en-GB"/>
        </w:rPr>
        <w:t xml:space="preserve"> to display relevant capabilities and marking will reflect that. This will inevitably penalise candidates submitting large numbers of </w:t>
      </w:r>
      <w:r w:rsidR="006F27BB">
        <w:rPr>
          <w:lang w:val="en-GB" w:eastAsia="en-GB"/>
        </w:rPr>
        <w:t>these cases</w:t>
      </w:r>
    </w:p>
    <w:p w14:paraId="1DA58607" w14:textId="77777777" w:rsidR="00D11555" w:rsidRPr="009271DE" w:rsidRDefault="00D11555" w:rsidP="00BB7226">
      <w:pPr>
        <w:pStyle w:val="ListBullet"/>
        <w:numPr>
          <w:ilvl w:val="0"/>
          <w:numId w:val="0"/>
        </w:numPr>
        <w:rPr>
          <w:lang w:val="en-GB" w:eastAsia="en-GB"/>
        </w:rPr>
      </w:pPr>
    </w:p>
    <w:p w14:paraId="1C168020" w14:textId="336CB624" w:rsidR="0055003C" w:rsidRDefault="00E66F38" w:rsidP="0060210D">
      <w:pPr>
        <w:pStyle w:val="ListBullet"/>
        <w:numPr>
          <w:ilvl w:val="0"/>
          <w:numId w:val="0"/>
        </w:numPr>
      </w:pPr>
      <w:r w:rsidRPr="0060210D">
        <w:rPr>
          <w:lang w:val="en-GB" w:eastAsia="en-GB"/>
        </w:rPr>
        <w:t xml:space="preserve">A consultation in which clothing equivalent to </w:t>
      </w:r>
      <w:r w:rsidR="00B759D7">
        <w:rPr>
          <w:lang w:val="en-GB" w:eastAsia="en-GB"/>
        </w:rPr>
        <w:t>the</w:t>
      </w:r>
      <w:r w:rsidRPr="0060210D">
        <w:rPr>
          <w:lang w:val="en-GB" w:eastAsia="en-GB"/>
        </w:rPr>
        <w:t xml:space="preserve"> ‘swimsuit area’, is removed and captured on a visual recording must not be submitted for assessment. </w:t>
      </w:r>
      <w:r w:rsidR="0060210D" w:rsidRPr="0060210D">
        <w:rPr>
          <w:lang w:val="en-GB" w:eastAsia="en-GB"/>
        </w:rPr>
        <w:t>(</w:t>
      </w:r>
      <w:proofErr w:type="gramStart"/>
      <w:r w:rsidR="0060210D" w:rsidRPr="0060210D">
        <w:rPr>
          <w:lang w:val="en-GB" w:eastAsia="en-GB"/>
        </w:rPr>
        <w:t>see</w:t>
      </w:r>
      <w:proofErr w:type="gramEnd"/>
      <w:r w:rsidR="0060210D" w:rsidRPr="0060210D">
        <w:rPr>
          <w:lang w:val="en-GB" w:eastAsia="en-GB"/>
        </w:rPr>
        <w:t xml:space="preserve"> </w:t>
      </w:r>
      <w:r w:rsidR="0060210D">
        <w:rPr>
          <w:lang w:val="en-GB" w:eastAsia="en-GB"/>
        </w:rPr>
        <w:t xml:space="preserve">exam </w:t>
      </w:r>
      <w:r w:rsidR="0060210D" w:rsidRPr="0060210D">
        <w:rPr>
          <w:lang w:val="en-GB" w:eastAsia="en-GB"/>
        </w:rPr>
        <w:t>breaches above)</w:t>
      </w:r>
      <w:r w:rsidRPr="0060210D">
        <w:rPr>
          <w:lang w:val="en-GB" w:eastAsia="en-GB"/>
        </w:rPr>
        <w:t xml:space="preserve"> </w:t>
      </w:r>
    </w:p>
    <w:p w14:paraId="797ADD3D" w14:textId="74E0C8FC" w:rsidR="00ED277C" w:rsidRDefault="0055003C">
      <w:pPr>
        <w:pStyle w:val="ListBullet"/>
        <w:numPr>
          <w:ilvl w:val="0"/>
          <w:numId w:val="0"/>
        </w:numPr>
      </w:pPr>
      <w:r w:rsidRPr="009271DE">
        <w:rPr>
          <w:b/>
          <w:bCs/>
          <w:color w:val="FF0000"/>
        </w:rPr>
        <w:t>WARNING</w:t>
      </w:r>
      <w:r>
        <w:t xml:space="preserve">: Unlike the CSA, where each station is a </w:t>
      </w:r>
      <w:proofErr w:type="spellStart"/>
      <w:r>
        <w:t>standardised</w:t>
      </w:r>
      <w:proofErr w:type="spellEnd"/>
      <w:r>
        <w:t xml:space="preserve"> </w:t>
      </w:r>
      <w:proofErr w:type="gramStart"/>
      <w:r>
        <w:t>role played</w:t>
      </w:r>
      <w:proofErr w:type="gramEnd"/>
      <w:r>
        <w:t xml:space="preserve"> case, the RCA station is selected by trainees. </w:t>
      </w:r>
      <w:r w:rsidRPr="009271DE">
        <w:rPr>
          <w:b/>
          <w:bCs/>
          <w:color w:val="FF0000"/>
        </w:rPr>
        <w:t>The main risk is one of INSUFFICIENT EVIDENCE</w:t>
      </w:r>
      <w:r>
        <w:t>, forcing the examiner to fail the case in one or more domains. A wide, diverse case submission is most likely to present sufficient evidence.</w:t>
      </w:r>
      <w:r w:rsidR="00F55157">
        <w:t xml:space="preserve">  Help the trainee to </w:t>
      </w:r>
      <w:r w:rsidR="00F55157" w:rsidRPr="00A31778">
        <w:rPr>
          <w:color w:val="C00000"/>
        </w:rPr>
        <w:t xml:space="preserve">ensure there is sufficient challenge in cases </w:t>
      </w:r>
      <w:r w:rsidR="00F55157">
        <w:t xml:space="preserve">– think would this case be best seen by a </w:t>
      </w:r>
      <w:proofErr w:type="gramStart"/>
      <w:r w:rsidR="00F55157">
        <w:t>GP</w:t>
      </w:r>
      <w:proofErr w:type="gramEnd"/>
      <w:r w:rsidR="00F55157">
        <w:t xml:space="preserve"> and does it provide sufficient evidence that the trainee is a capable GP</w:t>
      </w:r>
      <w:r w:rsidR="00A31778">
        <w:t>.  Note the ‘</w:t>
      </w:r>
      <w:proofErr w:type="gramStart"/>
      <w:r w:rsidR="00A31778">
        <w:t>fail</w:t>
      </w:r>
      <w:proofErr w:type="gramEnd"/>
      <w:r w:rsidR="00A31778">
        <w:t>’ grade descriptors:</w:t>
      </w:r>
    </w:p>
    <w:p w14:paraId="6E8B726A" w14:textId="76B14AE9" w:rsidR="00A31778" w:rsidRDefault="00A31778">
      <w:pPr>
        <w:pStyle w:val="ListBullet"/>
        <w:numPr>
          <w:ilvl w:val="0"/>
          <w:numId w:val="0"/>
        </w:numPr>
      </w:pPr>
    </w:p>
    <w:p w14:paraId="574D32A2" w14:textId="0D6ADBF7" w:rsidR="00A31778" w:rsidRPr="00A31778" w:rsidRDefault="00A31778" w:rsidP="00A31778">
      <w:pPr>
        <w:pStyle w:val="ListBullet"/>
        <w:numPr>
          <w:ilvl w:val="0"/>
          <w:numId w:val="27"/>
        </w:numPr>
        <w:rPr>
          <w:lang w:val="en-GB"/>
        </w:rPr>
      </w:pPr>
      <w:r>
        <w:rPr>
          <w:lang w:val="en-GB"/>
        </w:rPr>
        <w:t>‘</w:t>
      </w:r>
      <w:r w:rsidRPr="00A31778">
        <w:rPr>
          <w:lang w:val="en-GB"/>
        </w:rPr>
        <w:t xml:space="preserve">There is </w:t>
      </w:r>
      <w:r w:rsidRPr="00350056">
        <w:rPr>
          <w:b/>
          <w:bCs/>
          <w:color w:val="FF0000"/>
          <w:lang w:val="en-GB"/>
        </w:rPr>
        <w:t>no evidence or very limited evidence</w:t>
      </w:r>
      <w:r w:rsidRPr="00350056">
        <w:rPr>
          <w:color w:val="FF0000"/>
          <w:lang w:val="en-GB"/>
        </w:rPr>
        <w:t xml:space="preserve"> </w:t>
      </w:r>
      <w:r w:rsidRPr="00A31778">
        <w:rPr>
          <w:lang w:val="en-GB"/>
        </w:rPr>
        <w:t>provided to demonstrate capability of a doctor sufficient for safe independent UK General Practice in this domain.</w:t>
      </w:r>
      <w:r>
        <w:rPr>
          <w:lang w:val="en-GB"/>
        </w:rPr>
        <w:t>’</w:t>
      </w:r>
    </w:p>
    <w:p w14:paraId="21114FFF" w14:textId="723D6980" w:rsidR="00012F83" w:rsidRDefault="00665344">
      <w:pPr>
        <w:pStyle w:val="ListBullet"/>
        <w:numPr>
          <w:ilvl w:val="0"/>
          <w:numId w:val="0"/>
        </w:numPr>
        <w:rPr>
          <w:rStyle w:val="Hyperlink"/>
          <w:rFonts w:cs="Tahoma (Body CS)"/>
          <w:color w:val="C00000"/>
        </w:rPr>
      </w:pPr>
      <w:r>
        <w:t xml:space="preserve">The RCGP has a link to describe insufficient evidence/low challenge cases:  </w:t>
      </w:r>
      <w:hyperlink r:id="rId11" w:history="1">
        <w:r w:rsidRPr="00665344">
          <w:rPr>
            <w:rStyle w:val="Hyperlink"/>
            <w:rFonts w:cs="Tahoma (Body CS)"/>
            <w:color w:val="C00000"/>
          </w:rPr>
          <w:t>Details on low challenge/insufficient evidence cases</w:t>
        </w:r>
      </w:hyperlink>
    </w:p>
    <w:p w14:paraId="59736CEC" w14:textId="639064D4" w:rsidR="00012F83" w:rsidRDefault="00012F83">
      <w:pPr>
        <w:pStyle w:val="ListBullet"/>
        <w:numPr>
          <w:ilvl w:val="0"/>
          <w:numId w:val="0"/>
        </w:numPr>
        <w:rPr>
          <w:rStyle w:val="Hyperlink"/>
          <w:rFonts w:cs="Tahoma (Body CS)"/>
          <w:color w:val="C00000"/>
        </w:rPr>
      </w:pPr>
    </w:p>
    <w:p w14:paraId="35791420" w14:textId="5A56A5EA" w:rsidR="00012F83" w:rsidRDefault="00012F83">
      <w:pPr>
        <w:pStyle w:val="ListBullet"/>
        <w:numPr>
          <w:ilvl w:val="0"/>
          <w:numId w:val="0"/>
        </w:numPr>
        <w:rPr>
          <w:rStyle w:val="Hyperlink"/>
          <w:rFonts w:cs="Tahoma (Body CS)"/>
          <w:color w:val="C00000"/>
        </w:rPr>
      </w:pPr>
    </w:p>
    <w:p w14:paraId="4927F6BF" w14:textId="77777777" w:rsidR="00012F83" w:rsidRDefault="00012F83">
      <w:pPr>
        <w:pStyle w:val="ListBullet"/>
        <w:numPr>
          <w:ilvl w:val="0"/>
          <w:numId w:val="0"/>
        </w:numPr>
        <w:rPr>
          <w:rStyle w:val="Hyperlink"/>
          <w:rFonts w:cs="Tahoma (Body CS)"/>
          <w:color w:val="C00000"/>
        </w:rPr>
      </w:pPr>
    </w:p>
    <w:p w14:paraId="2F18BBCB" w14:textId="77777777" w:rsidR="00A71E76" w:rsidRPr="00665344" w:rsidRDefault="00A71E76">
      <w:pPr>
        <w:pStyle w:val="ListBullet"/>
        <w:numPr>
          <w:ilvl w:val="0"/>
          <w:numId w:val="0"/>
        </w:numPr>
        <w:rPr>
          <w:rFonts w:cs="Tahoma (Body CS)"/>
          <w:color w:val="C00000"/>
        </w:rPr>
      </w:pPr>
    </w:p>
    <w:p w14:paraId="3BDBF8D2" w14:textId="1C1A5E9B" w:rsidR="00C300F5" w:rsidRDefault="00C300F5" w:rsidP="00C300F5">
      <w:pPr>
        <w:pStyle w:val="Heading1"/>
        <w:pBdr>
          <w:top w:val="single" w:sz="24" w:space="1" w:color="262626" w:themeColor="text1" w:themeTint="D9"/>
        </w:pBdr>
      </w:pPr>
      <w:r>
        <w:t>PRACTICE SUPPORT MECHANISMS TO SUPPORT THE TRAINEE</w:t>
      </w:r>
    </w:p>
    <w:p w14:paraId="64539BB7" w14:textId="70A53876" w:rsidR="00C300F5" w:rsidRDefault="00C300F5">
      <w:pPr>
        <w:pStyle w:val="ListBullet"/>
        <w:numPr>
          <w:ilvl w:val="0"/>
          <w:numId w:val="0"/>
        </w:numPr>
      </w:pPr>
    </w:p>
    <w:p w14:paraId="0D73F8EA" w14:textId="72E5C708" w:rsidR="00C20207" w:rsidRDefault="00C20207" w:rsidP="00C20207">
      <w:pPr>
        <w:pStyle w:val="ListBullet"/>
        <w:numPr>
          <w:ilvl w:val="0"/>
          <w:numId w:val="26"/>
        </w:numPr>
      </w:pPr>
      <w:r>
        <w:t xml:space="preserve">The trainee needs to have the </w:t>
      </w:r>
      <w:r w:rsidR="001C4D71" w:rsidRPr="00350056">
        <w:rPr>
          <w:b/>
          <w:bCs/>
        </w:rPr>
        <w:t xml:space="preserve">recording </w:t>
      </w:r>
      <w:r w:rsidRPr="00350056">
        <w:rPr>
          <w:b/>
          <w:bCs/>
        </w:rPr>
        <w:t>technology</w:t>
      </w:r>
      <w:r>
        <w:t xml:space="preserve"> functioning well and be efficient in their use of this.  Ensure a failure of technological processes </w:t>
      </w:r>
      <w:r w:rsidR="00704A44">
        <w:t>does not interfere with the RCA submission quality.</w:t>
      </w:r>
    </w:p>
    <w:p w14:paraId="378EB846" w14:textId="6DE13006" w:rsidR="00C20207" w:rsidRDefault="008A47E6" w:rsidP="00C20207">
      <w:pPr>
        <w:pStyle w:val="ListBullet"/>
        <w:numPr>
          <w:ilvl w:val="0"/>
          <w:numId w:val="26"/>
        </w:numPr>
      </w:pPr>
      <w:r>
        <w:t xml:space="preserve">Ensure </w:t>
      </w:r>
      <w:r w:rsidRPr="00350056">
        <w:rPr>
          <w:b/>
          <w:bCs/>
        </w:rPr>
        <w:t>good sound quality</w:t>
      </w:r>
      <w:r>
        <w:t>.  Consider a ‘do not disturb sign’ on the door and ensur</w:t>
      </w:r>
      <w:r w:rsidR="00704A44">
        <w:t>e</w:t>
      </w:r>
      <w:r>
        <w:t xml:space="preserve"> colleagues </w:t>
      </w:r>
      <w:r w:rsidR="00704A44">
        <w:t>do not</w:t>
      </w:r>
      <w:r>
        <w:t xml:space="preserve"> disturb the trainee with telephone calls or screen messages</w:t>
      </w:r>
    </w:p>
    <w:p w14:paraId="02698FFF" w14:textId="3E506A46" w:rsidR="0015172E" w:rsidRPr="00350056" w:rsidRDefault="0015172E" w:rsidP="00C20207">
      <w:pPr>
        <w:pStyle w:val="ListBullet"/>
        <w:numPr>
          <w:ilvl w:val="0"/>
          <w:numId w:val="26"/>
        </w:numPr>
        <w:rPr>
          <w:i/>
          <w:iCs/>
        </w:rPr>
      </w:pPr>
      <w:r>
        <w:t>Video and face to face consultations should show the trainee and patient’s face</w:t>
      </w:r>
      <w:r w:rsidR="00704A44">
        <w:t xml:space="preserve"> </w:t>
      </w:r>
      <w:r w:rsidR="00704A44" w:rsidRPr="00350056">
        <w:rPr>
          <w:i/>
          <w:iCs/>
        </w:rPr>
        <w:t>if possible</w:t>
      </w:r>
    </w:p>
    <w:p w14:paraId="1F51BC60" w14:textId="528758AB" w:rsidR="008A47E6" w:rsidRDefault="009F2A69" w:rsidP="00C20207">
      <w:pPr>
        <w:pStyle w:val="ListBullet"/>
        <w:numPr>
          <w:ilvl w:val="0"/>
          <w:numId w:val="26"/>
        </w:numPr>
      </w:pPr>
      <w:r>
        <w:lastRenderedPageBreak/>
        <w:t xml:space="preserve">For telephone consultation recordings via digital platforms inform patients that the </w:t>
      </w:r>
      <w:r w:rsidRPr="00350056">
        <w:rPr>
          <w:i/>
          <w:iCs/>
        </w:rPr>
        <w:t>area code might not be local</w:t>
      </w:r>
      <w:r>
        <w:t xml:space="preserve"> to avoid them </w:t>
      </w:r>
      <w:r w:rsidR="00704A44">
        <w:t>thinking</w:t>
      </w:r>
      <w:r>
        <w:t xml:space="preserve"> </w:t>
      </w:r>
      <w:r w:rsidR="00704A44">
        <w:t xml:space="preserve">it is a hoax call </w:t>
      </w:r>
    </w:p>
    <w:p w14:paraId="45A43F58" w14:textId="77777777" w:rsidR="00704A44" w:rsidRDefault="00597D53" w:rsidP="00C20207">
      <w:pPr>
        <w:pStyle w:val="ListBullet"/>
        <w:numPr>
          <w:ilvl w:val="0"/>
          <w:numId w:val="26"/>
        </w:numPr>
      </w:pPr>
      <w:r>
        <w:t xml:space="preserve">Consider the </w:t>
      </w:r>
      <w:r w:rsidRPr="00350056">
        <w:rPr>
          <w:b/>
          <w:bCs/>
        </w:rPr>
        <w:t>practice procedures for directing cases</w:t>
      </w:r>
      <w:r>
        <w:t xml:space="preserve"> to trainees – are they pre-triaged/directed by a care navigator – consider how the practice system be used to the best advantage for the trainee accessing the most appropriate cases.  </w:t>
      </w:r>
    </w:p>
    <w:p w14:paraId="17333B09" w14:textId="7D7326CB" w:rsidR="009F2A69" w:rsidRDefault="00EC2B44" w:rsidP="00C20207">
      <w:pPr>
        <w:pStyle w:val="ListBullet"/>
        <w:numPr>
          <w:ilvl w:val="0"/>
          <w:numId w:val="26"/>
        </w:numPr>
      </w:pPr>
      <w:r>
        <w:t xml:space="preserve">Consider if clinical </w:t>
      </w:r>
      <w:r w:rsidRPr="00350056">
        <w:rPr>
          <w:b/>
          <w:bCs/>
        </w:rPr>
        <w:t>colleagues in the practice can be made aware</w:t>
      </w:r>
      <w:r>
        <w:t xml:space="preserve"> of the right kinds of cases for the trainee and help trainees to access these </w:t>
      </w:r>
    </w:p>
    <w:p w14:paraId="36DFB032" w14:textId="56055771" w:rsidR="00E97DE0" w:rsidRDefault="00E97DE0" w:rsidP="00C20207">
      <w:pPr>
        <w:pStyle w:val="ListBullet"/>
        <w:numPr>
          <w:ilvl w:val="0"/>
          <w:numId w:val="26"/>
        </w:numPr>
      </w:pPr>
      <w:r>
        <w:t xml:space="preserve">If </w:t>
      </w:r>
      <w:proofErr w:type="gramStart"/>
      <w:r>
        <w:t>possible</w:t>
      </w:r>
      <w:proofErr w:type="gramEnd"/>
      <w:r>
        <w:t xml:space="preserve"> consider </w:t>
      </w:r>
      <w:r w:rsidRPr="00350056">
        <w:rPr>
          <w:i/>
          <w:iCs/>
        </w:rPr>
        <w:t>only</w:t>
      </w:r>
      <w:r>
        <w:t xml:space="preserve"> willing or consent</w:t>
      </w:r>
      <w:r w:rsidR="007D7FDB">
        <w:t>ing</w:t>
      </w:r>
      <w:r>
        <w:t xml:space="preserve"> patients for recording to be directed to the trainee</w:t>
      </w:r>
    </w:p>
    <w:p w14:paraId="1F6B37E0" w14:textId="1E9ACC89" w:rsidR="0019044D" w:rsidRDefault="0019044D" w:rsidP="00C20207">
      <w:pPr>
        <w:pStyle w:val="ListBullet"/>
        <w:numPr>
          <w:ilvl w:val="0"/>
          <w:numId w:val="26"/>
        </w:numPr>
      </w:pPr>
      <w:r>
        <w:t xml:space="preserve">Consider </w:t>
      </w:r>
      <w:r w:rsidRPr="00350056">
        <w:rPr>
          <w:b/>
          <w:bCs/>
        </w:rPr>
        <w:t>trainee appointment length</w:t>
      </w:r>
      <w:r>
        <w:t xml:space="preserve"> – long enough for recording and the right balance of case exposure for that trainee</w:t>
      </w:r>
    </w:p>
    <w:p w14:paraId="33A56D0D" w14:textId="5723580B" w:rsidR="00E31375" w:rsidRDefault="00E31375" w:rsidP="00C20207">
      <w:pPr>
        <w:pStyle w:val="ListBullet"/>
        <w:numPr>
          <w:ilvl w:val="0"/>
          <w:numId w:val="26"/>
        </w:numPr>
      </w:pPr>
      <w:r>
        <w:t xml:space="preserve">Some trainees might benefit from a stop-clock </w:t>
      </w:r>
      <w:r w:rsidR="00704A44">
        <w:t xml:space="preserve">to </w:t>
      </w:r>
      <w:r>
        <w:t xml:space="preserve">help with </w:t>
      </w:r>
      <w:r w:rsidRPr="00350056">
        <w:rPr>
          <w:b/>
          <w:bCs/>
        </w:rPr>
        <w:t>time management issues</w:t>
      </w:r>
      <w:r>
        <w:t>.  Others may benefit from crib sheets providing these aren’t detrimental to interpersonal skills</w:t>
      </w:r>
    </w:p>
    <w:p w14:paraId="47E1A136" w14:textId="77777777" w:rsidR="00012F83" w:rsidRDefault="00012F83" w:rsidP="006F602D">
      <w:pPr>
        <w:pStyle w:val="ListBullet"/>
        <w:numPr>
          <w:ilvl w:val="0"/>
          <w:numId w:val="0"/>
        </w:numPr>
      </w:pPr>
    </w:p>
    <w:p w14:paraId="5CDC33C4" w14:textId="77777777" w:rsidR="00130BBB" w:rsidRDefault="00130BBB" w:rsidP="00C300F5">
      <w:pPr>
        <w:pStyle w:val="Heading1"/>
        <w:pBdr>
          <w:top w:val="single" w:sz="24" w:space="1" w:color="262626" w:themeColor="text1" w:themeTint="D9"/>
        </w:pBdr>
      </w:pPr>
      <w:r>
        <w:t>Analysis of Consultations</w:t>
      </w:r>
    </w:p>
    <w:p w14:paraId="09A4DAEE" w14:textId="38D9E309" w:rsidR="00E41729" w:rsidRDefault="00130BBB" w:rsidP="00490B53">
      <w:pPr>
        <w:pStyle w:val="ListBullet"/>
        <w:numPr>
          <w:ilvl w:val="0"/>
          <w:numId w:val="0"/>
        </w:numPr>
        <w:ind w:left="216"/>
        <w:rPr>
          <w:noProof/>
        </w:rPr>
      </w:pPr>
      <w:r>
        <w:t xml:space="preserve">The RCGP have published </w:t>
      </w:r>
      <w:r w:rsidR="00E82136">
        <w:t>a marking scheme that will be used to mark the consultation:</w:t>
      </w:r>
    </w:p>
    <w:p w14:paraId="06BADE3E" w14:textId="19E79B80" w:rsidR="00130BBB" w:rsidRDefault="00130BBB" w:rsidP="00490B53">
      <w:pPr>
        <w:pStyle w:val="ListBullet"/>
        <w:numPr>
          <w:ilvl w:val="0"/>
          <w:numId w:val="0"/>
        </w:numPr>
        <w:ind w:left="216"/>
      </w:pPr>
    </w:p>
    <w:p w14:paraId="43B570F7" w14:textId="719A70EF" w:rsidR="00E82136" w:rsidRPr="009271DE" w:rsidRDefault="00E82136" w:rsidP="009271DE">
      <w:pPr>
        <w:pStyle w:val="ListParagraph"/>
        <w:numPr>
          <w:ilvl w:val="0"/>
          <w:numId w:val="25"/>
        </w:numPr>
        <w:spacing w:after="0" w:line="240" w:lineRule="auto"/>
        <w:rPr>
          <w:rFonts w:ascii="Arial" w:eastAsia="Times New Roman" w:hAnsi="Arial" w:cs="Arial"/>
          <w:b/>
          <w:bCs/>
          <w:color w:val="515A63"/>
          <w:sz w:val="21"/>
          <w:szCs w:val="21"/>
          <w:u w:val="single"/>
          <w:lang w:val="en-GB" w:eastAsia="en-GB"/>
        </w:rPr>
      </w:pPr>
      <w:r w:rsidRPr="009271DE">
        <w:rPr>
          <w:rFonts w:ascii="Arial" w:eastAsia="Times New Roman" w:hAnsi="Arial" w:cs="Arial"/>
          <w:b/>
          <w:bCs/>
          <w:color w:val="515A63"/>
          <w:sz w:val="21"/>
          <w:szCs w:val="21"/>
          <w:u w:val="single"/>
          <w:lang w:val="en-GB" w:eastAsia="en-GB"/>
        </w:rPr>
        <w:t>Data Gathering, Technical and Assessment Skills</w:t>
      </w:r>
    </w:p>
    <w:p w14:paraId="3F105BB1" w14:textId="77777777" w:rsidR="00E82136" w:rsidRPr="009271DE" w:rsidRDefault="00E82136" w:rsidP="009271DE">
      <w:pPr>
        <w:spacing w:after="0" w:line="240" w:lineRule="auto"/>
        <w:ind w:left="360"/>
        <w:rPr>
          <w:rFonts w:ascii="Arial" w:eastAsia="Times New Roman" w:hAnsi="Arial" w:cs="Arial"/>
          <w:color w:val="515A63"/>
          <w:sz w:val="21"/>
          <w:szCs w:val="21"/>
          <w:lang w:val="en-GB" w:eastAsia="en-GB"/>
        </w:rPr>
      </w:pPr>
    </w:p>
    <w:p w14:paraId="22BB7BD0"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Takes a focussed history to allow for a safe assessment to take place</w:t>
      </w:r>
    </w:p>
    <w:p w14:paraId="0D89AA5D"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Elicits and develops relevant new information</w:t>
      </w:r>
    </w:p>
    <w:p w14:paraId="7559766B"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Rules in or out serious or significant disease</w:t>
      </w:r>
    </w:p>
    <w:p w14:paraId="0420CF66"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Considers and/or generates any appropriate diagnostic hypotheses</w:t>
      </w:r>
    </w:p>
    <w:p w14:paraId="79C13E83"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Explores where appropriate the impact and psychosocial context of the presenting problem</w:t>
      </w:r>
    </w:p>
    <w:p w14:paraId="05882C38" w14:textId="77777777" w:rsidR="00E82136" w:rsidRP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Plans, explains and where possible, performs appropriate physical/mental examinations and tests</w:t>
      </w:r>
    </w:p>
    <w:p w14:paraId="541500F0" w14:textId="383AAD71" w:rsidR="00E82136" w:rsidRDefault="00E82136" w:rsidP="00E82136">
      <w:pPr>
        <w:numPr>
          <w:ilvl w:val="0"/>
          <w:numId w:val="22"/>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Appears to recognise the issues or priorities in the consultation</w:t>
      </w:r>
    </w:p>
    <w:p w14:paraId="3E1CAC9B" w14:textId="77777777" w:rsidR="00E82136" w:rsidRPr="00E82136" w:rsidRDefault="00E82136" w:rsidP="009271DE">
      <w:pPr>
        <w:spacing w:after="0" w:line="240" w:lineRule="auto"/>
        <w:ind w:left="330"/>
        <w:rPr>
          <w:rFonts w:ascii="Arial" w:eastAsia="Times New Roman" w:hAnsi="Arial" w:cs="Arial"/>
          <w:color w:val="515A63"/>
          <w:sz w:val="21"/>
          <w:szCs w:val="21"/>
          <w:lang w:val="en-GB" w:eastAsia="en-GB"/>
        </w:rPr>
      </w:pPr>
    </w:p>
    <w:p w14:paraId="44D1D18D" w14:textId="2C57917F" w:rsidR="00E82136" w:rsidRPr="009271DE" w:rsidRDefault="00E82136" w:rsidP="009271DE">
      <w:pPr>
        <w:pStyle w:val="ListParagraph"/>
        <w:numPr>
          <w:ilvl w:val="0"/>
          <w:numId w:val="25"/>
        </w:numPr>
        <w:spacing w:after="0" w:line="240" w:lineRule="auto"/>
        <w:rPr>
          <w:rFonts w:ascii="Arial" w:eastAsia="Times New Roman" w:hAnsi="Arial" w:cs="Arial"/>
          <w:b/>
          <w:bCs/>
          <w:color w:val="515A63"/>
          <w:sz w:val="21"/>
          <w:szCs w:val="21"/>
          <w:lang w:val="en-GB" w:eastAsia="en-GB"/>
        </w:rPr>
      </w:pPr>
      <w:r w:rsidRPr="009271DE">
        <w:rPr>
          <w:rFonts w:ascii="Arial" w:eastAsia="Times New Roman" w:hAnsi="Arial" w:cs="Arial"/>
          <w:b/>
          <w:bCs/>
          <w:color w:val="515A63"/>
          <w:sz w:val="21"/>
          <w:szCs w:val="21"/>
          <w:lang w:val="en-GB" w:eastAsia="en-GB"/>
        </w:rPr>
        <w:t>Decision Making and Clinical Management Skills</w:t>
      </w:r>
    </w:p>
    <w:p w14:paraId="04AE4346" w14:textId="77777777" w:rsidR="00E82136" w:rsidRPr="009271DE" w:rsidRDefault="00E82136" w:rsidP="009271DE">
      <w:pPr>
        <w:pStyle w:val="ListParagraph"/>
        <w:spacing w:after="0" w:line="240" w:lineRule="auto"/>
        <w:ind w:left="2160"/>
        <w:rPr>
          <w:rFonts w:ascii="Arial" w:eastAsia="Times New Roman" w:hAnsi="Arial" w:cs="Arial"/>
          <w:color w:val="515A63"/>
          <w:sz w:val="21"/>
          <w:szCs w:val="21"/>
          <w:lang w:val="en-GB" w:eastAsia="en-GB"/>
        </w:rPr>
      </w:pPr>
    </w:p>
    <w:p w14:paraId="4060EA4F" w14:textId="77777777" w:rsidR="00E82136" w:rsidRPr="00E82136" w:rsidRDefault="00E82136" w:rsidP="00E82136">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Appears to make a safe and appropriate working diagnosis/es</w:t>
      </w:r>
    </w:p>
    <w:p w14:paraId="6109BB9A" w14:textId="77777777" w:rsidR="00E82136" w:rsidRPr="00E82136" w:rsidRDefault="00E82136" w:rsidP="00E82136">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Offers appropriate and safe management options for the presenting problem</w:t>
      </w:r>
    </w:p>
    <w:p w14:paraId="4D6EFA28" w14:textId="77777777" w:rsidR="00E82136" w:rsidRPr="00E82136" w:rsidRDefault="00E82136" w:rsidP="00E82136">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Where possible, makes evidence-based decisions re prescribing, referral and co-ordinating care with other health care professionals</w:t>
      </w:r>
    </w:p>
    <w:p w14:paraId="0EFCF95B" w14:textId="77777777" w:rsidR="00A40A1C" w:rsidRDefault="00E82136" w:rsidP="00A40A1C">
      <w:pPr>
        <w:numPr>
          <w:ilvl w:val="0"/>
          <w:numId w:val="23"/>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Makes appropriate use of time and resources whilst attending to risks</w:t>
      </w:r>
    </w:p>
    <w:p w14:paraId="6A39D909" w14:textId="0589B54D" w:rsidR="00A40A1C" w:rsidRPr="00A40A1C" w:rsidRDefault="00A40A1C" w:rsidP="00A40A1C">
      <w:pPr>
        <w:numPr>
          <w:ilvl w:val="0"/>
          <w:numId w:val="23"/>
        </w:numPr>
        <w:spacing w:after="0" w:line="240" w:lineRule="auto"/>
        <w:ind w:left="330"/>
        <w:rPr>
          <w:rFonts w:ascii="Arial" w:eastAsia="Times New Roman" w:hAnsi="Arial" w:cs="Arial"/>
          <w:color w:val="515A63"/>
          <w:sz w:val="21"/>
          <w:szCs w:val="21"/>
          <w:lang w:val="en-GB" w:eastAsia="en-GB"/>
        </w:rPr>
      </w:pPr>
      <w:r w:rsidRPr="00A40A1C">
        <w:rPr>
          <w:rFonts w:ascii="Arial" w:eastAsia="Times New Roman" w:hAnsi="Arial" w:cs="Arial"/>
          <w:color w:val="515A63"/>
          <w:sz w:val="21"/>
          <w:szCs w:val="21"/>
          <w:lang w:val="en-GB" w:eastAsia="en-GB"/>
        </w:rPr>
        <w:t>Provides realistic safety netting and follow up instructions appropriate to the nature of the consultation</w:t>
      </w:r>
    </w:p>
    <w:p w14:paraId="17B89B8E" w14:textId="77777777" w:rsidR="00E82136" w:rsidRPr="00E82136" w:rsidRDefault="00E82136" w:rsidP="009271DE">
      <w:pPr>
        <w:spacing w:after="0" w:line="240" w:lineRule="auto"/>
        <w:ind w:left="330"/>
        <w:rPr>
          <w:rFonts w:ascii="Arial" w:eastAsia="Times New Roman" w:hAnsi="Arial" w:cs="Arial"/>
          <w:color w:val="515A63"/>
          <w:sz w:val="21"/>
          <w:szCs w:val="21"/>
          <w:lang w:val="en-GB" w:eastAsia="en-GB"/>
        </w:rPr>
      </w:pPr>
    </w:p>
    <w:p w14:paraId="685A6302" w14:textId="46032C4E" w:rsidR="00E82136" w:rsidRPr="009271DE" w:rsidRDefault="00E82136" w:rsidP="009271DE">
      <w:pPr>
        <w:pStyle w:val="ListParagraph"/>
        <w:numPr>
          <w:ilvl w:val="0"/>
          <w:numId w:val="25"/>
        </w:numPr>
        <w:spacing w:after="0" w:line="240" w:lineRule="auto"/>
        <w:rPr>
          <w:rFonts w:ascii="Arial" w:eastAsia="Times New Roman" w:hAnsi="Arial" w:cs="Arial"/>
          <w:b/>
          <w:bCs/>
          <w:color w:val="515A63"/>
          <w:sz w:val="21"/>
          <w:szCs w:val="21"/>
          <w:u w:val="single"/>
          <w:lang w:val="en-GB" w:eastAsia="en-GB"/>
        </w:rPr>
      </w:pPr>
      <w:r w:rsidRPr="009271DE">
        <w:rPr>
          <w:rFonts w:ascii="Arial" w:eastAsia="Times New Roman" w:hAnsi="Arial" w:cs="Arial"/>
          <w:b/>
          <w:bCs/>
          <w:color w:val="515A63"/>
          <w:sz w:val="21"/>
          <w:szCs w:val="21"/>
          <w:u w:val="single"/>
          <w:lang w:val="en-GB" w:eastAsia="en-GB"/>
        </w:rPr>
        <w:t>Interpersonal Skills </w:t>
      </w:r>
    </w:p>
    <w:p w14:paraId="5C47B54D" w14:textId="77777777" w:rsidR="00E82136" w:rsidRPr="009271DE" w:rsidRDefault="00E82136" w:rsidP="009271DE">
      <w:pPr>
        <w:pStyle w:val="ListParagraph"/>
        <w:spacing w:after="0" w:line="240" w:lineRule="auto"/>
        <w:ind w:left="1080"/>
        <w:rPr>
          <w:rFonts w:ascii="Arial" w:eastAsia="Times New Roman" w:hAnsi="Arial" w:cs="Arial"/>
          <w:color w:val="515A63"/>
          <w:sz w:val="21"/>
          <w:szCs w:val="21"/>
          <w:lang w:val="en-GB" w:eastAsia="en-GB"/>
        </w:rPr>
      </w:pPr>
    </w:p>
    <w:p w14:paraId="6E953670"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Encourages the patient's contribution, identifying and responding to cues appropriate to the consultation</w:t>
      </w:r>
    </w:p>
    <w:p w14:paraId="6D566A69"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Explores where appropriate, patient’s agenda, health beliefs &amp; preferences</w:t>
      </w:r>
    </w:p>
    <w:p w14:paraId="273D2493"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Offers the opportunity to be involved in significant management decisions reaching a shared understanding</w:t>
      </w:r>
    </w:p>
    <w:p w14:paraId="6FB0DA90"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lastRenderedPageBreak/>
        <w:t>When undertaken, explains and conducts examinations with sensitivity and obtains valid consent</w:t>
      </w:r>
    </w:p>
    <w:p w14:paraId="6EBDCB3C" w14:textId="77777777" w:rsidR="00E82136" w:rsidRPr="00E82136" w:rsidRDefault="00E82136" w:rsidP="00E82136">
      <w:pPr>
        <w:numPr>
          <w:ilvl w:val="0"/>
          <w:numId w:val="24"/>
        </w:numPr>
        <w:spacing w:after="0" w:line="240" w:lineRule="auto"/>
        <w:ind w:left="330"/>
        <w:rPr>
          <w:rFonts w:ascii="Arial" w:eastAsia="Times New Roman" w:hAnsi="Arial" w:cs="Arial"/>
          <w:color w:val="515A63"/>
          <w:sz w:val="21"/>
          <w:szCs w:val="21"/>
          <w:lang w:val="en-GB" w:eastAsia="en-GB"/>
        </w:rPr>
      </w:pPr>
      <w:r w:rsidRPr="00E82136">
        <w:rPr>
          <w:rFonts w:ascii="Arial" w:eastAsia="Times New Roman" w:hAnsi="Arial" w:cs="Arial"/>
          <w:color w:val="515A63"/>
          <w:sz w:val="21"/>
          <w:szCs w:val="21"/>
          <w:lang w:val="en-GB" w:eastAsia="en-GB"/>
        </w:rPr>
        <w:t xml:space="preserve">Provides explanations that are relevant, </w:t>
      </w:r>
      <w:proofErr w:type="gramStart"/>
      <w:r w:rsidRPr="00E82136">
        <w:rPr>
          <w:rFonts w:ascii="Arial" w:eastAsia="Times New Roman" w:hAnsi="Arial" w:cs="Arial"/>
          <w:color w:val="515A63"/>
          <w:sz w:val="21"/>
          <w:szCs w:val="21"/>
          <w:lang w:val="en-GB" w:eastAsia="en-GB"/>
        </w:rPr>
        <w:t>necessary</w:t>
      </w:r>
      <w:proofErr w:type="gramEnd"/>
      <w:r w:rsidRPr="00E82136">
        <w:rPr>
          <w:rFonts w:ascii="Arial" w:eastAsia="Times New Roman" w:hAnsi="Arial" w:cs="Arial"/>
          <w:color w:val="515A63"/>
          <w:sz w:val="21"/>
          <w:szCs w:val="21"/>
          <w:lang w:val="en-GB" w:eastAsia="en-GB"/>
        </w:rPr>
        <w:t xml:space="preserve"> and understandable to the patient</w:t>
      </w:r>
    </w:p>
    <w:p w14:paraId="3C820C20" w14:textId="55C25D2E" w:rsidR="00E82136" w:rsidRDefault="00E82136">
      <w:pPr>
        <w:pStyle w:val="ListBullet"/>
        <w:numPr>
          <w:ilvl w:val="0"/>
          <w:numId w:val="0"/>
        </w:numPr>
      </w:pPr>
    </w:p>
    <w:p w14:paraId="1C7D830F" w14:textId="6C8301B7" w:rsidR="004C4196" w:rsidRPr="004C4196" w:rsidRDefault="004C4196">
      <w:pPr>
        <w:pStyle w:val="ListBullet"/>
        <w:numPr>
          <w:ilvl w:val="0"/>
          <w:numId w:val="0"/>
        </w:numPr>
        <w:rPr>
          <w:b/>
          <w:bCs/>
          <w:color w:val="C00000"/>
        </w:rPr>
      </w:pPr>
      <w:r w:rsidRPr="004C4196">
        <w:rPr>
          <w:b/>
          <w:bCs/>
          <w:color w:val="C00000"/>
        </w:rPr>
        <w:t xml:space="preserve">Ensure that all 3 domains can be assessed and there is sufficient evidence in all 3 domains within the </w:t>
      </w:r>
      <w:proofErr w:type="gramStart"/>
      <w:r w:rsidRPr="004C4196">
        <w:rPr>
          <w:b/>
          <w:bCs/>
          <w:color w:val="C00000"/>
        </w:rPr>
        <w:t>1</w:t>
      </w:r>
      <w:r w:rsidR="008E65B9">
        <w:rPr>
          <w:b/>
          <w:bCs/>
          <w:color w:val="C00000"/>
        </w:rPr>
        <w:t>2</w:t>
      </w:r>
      <w:r w:rsidRPr="004C4196">
        <w:rPr>
          <w:b/>
          <w:bCs/>
          <w:color w:val="C00000"/>
        </w:rPr>
        <w:t xml:space="preserve"> minute</w:t>
      </w:r>
      <w:proofErr w:type="gramEnd"/>
      <w:r w:rsidRPr="004C4196">
        <w:rPr>
          <w:b/>
          <w:bCs/>
          <w:color w:val="C00000"/>
        </w:rPr>
        <w:t xml:space="preserve"> time frame.</w:t>
      </w:r>
    </w:p>
    <w:p w14:paraId="6C294224" w14:textId="77777777" w:rsidR="004C4196" w:rsidRPr="004C4196" w:rsidRDefault="004C4196">
      <w:pPr>
        <w:pStyle w:val="ListBullet"/>
        <w:numPr>
          <w:ilvl w:val="0"/>
          <w:numId w:val="0"/>
        </w:numPr>
        <w:rPr>
          <w:b/>
          <w:bCs/>
          <w:color w:val="C00000"/>
        </w:rPr>
      </w:pPr>
    </w:p>
    <w:p w14:paraId="67D8A2EE" w14:textId="257DACB2" w:rsidR="00B67F7A" w:rsidRDefault="00594860" w:rsidP="00B67F7A">
      <w:pPr>
        <w:pStyle w:val="ListBullet"/>
        <w:numPr>
          <w:ilvl w:val="0"/>
          <w:numId w:val="0"/>
        </w:numPr>
        <w:ind w:left="499" w:hanging="216"/>
      </w:pPr>
      <w:r>
        <w:t>Closely</w:t>
      </w:r>
      <w:r w:rsidR="0090127B">
        <w:t xml:space="preserve"> aligned</w:t>
      </w:r>
      <w:r w:rsidR="00130BBB">
        <w:t xml:space="preserve"> with the </w:t>
      </w:r>
      <w:r w:rsidR="00A40A1C" w:rsidRPr="00B67F7A">
        <w:rPr>
          <w:b/>
          <w:bCs/>
        </w:rPr>
        <w:t xml:space="preserve">Consultation </w:t>
      </w:r>
      <w:proofErr w:type="gramStart"/>
      <w:r w:rsidR="00A40A1C" w:rsidRPr="00B67F7A">
        <w:rPr>
          <w:b/>
          <w:bCs/>
        </w:rPr>
        <w:t>Tool</w:t>
      </w:r>
      <w:r w:rsidR="00130BBB">
        <w:t>(</w:t>
      </w:r>
      <w:proofErr w:type="gramEnd"/>
      <w:r w:rsidR="00130BBB">
        <w:t xml:space="preserve">Red/Amber/Green) </w:t>
      </w:r>
      <w:r w:rsidR="0090127B">
        <w:t xml:space="preserve">and resources </w:t>
      </w:r>
      <w:r w:rsidR="00130BBB">
        <w:t xml:space="preserve">written by </w:t>
      </w:r>
      <w:r w:rsidR="008E65B9">
        <w:t xml:space="preserve">RCA </w:t>
      </w:r>
      <w:r w:rsidR="00130BBB">
        <w:t xml:space="preserve">examiners on our </w:t>
      </w:r>
      <w:r w:rsidR="00A40A1C" w:rsidRPr="00B67F7A">
        <w:rPr>
          <w:b/>
          <w:bCs/>
          <w:color w:val="C00000"/>
        </w:rPr>
        <w:t>NW Consultation</w:t>
      </w:r>
      <w:r w:rsidR="00130BBB" w:rsidRPr="00B67F7A">
        <w:rPr>
          <w:b/>
          <w:bCs/>
          <w:color w:val="C00000"/>
        </w:rPr>
        <w:t xml:space="preserve"> Toolkit site</w:t>
      </w:r>
      <w:r w:rsidR="00130BBB" w:rsidRPr="00B67F7A">
        <w:rPr>
          <w:color w:val="C00000"/>
        </w:rPr>
        <w:t xml:space="preserve"> </w:t>
      </w:r>
      <w:r w:rsidR="00704A44">
        <w:t>@</w:t>
      </w:r>
      <w:r w:rsidR="00130BBB">
        <w:t xml:space="preserve"> Fourteen Fish</w:t>
      </w:r>
      <w:r w:rsidR="0090127B">
        <w:t xml:space="preserve">. </w:t>
      </w:r>
      <w:hyperlink r:id="rId12" w:history="1">
        <w:r w:rsidR="00B67F7A" w:rsidRPr="00B67F7A">
          <w:rPr>
            <w:rStyle w:val="Hyperlink"/>
          </w:rPr>
          <w:t>Video introduction to the toolkit</w:t>
        </w:r>
      </w:hyperlink>
    </w:p>
    <w:p w14:paraId="6156F085" w14:textId="77777777" w:rsidR="00B67F7A" w:rsidRDefault="00B67F7A" w:rsidP="00B67F7A">
      <w:pPr>
        <w:pStyle w:val="ListBullet"/>
        <w:numPr>
          <w:ilvl w:val="0"/>
          <w:numId w:val="0"/>
        </w:numPr>
        <w:ind w:left="499" w:hanging="216"/>
      </w:pPr>
    </w:p>
    <w:p w14:paraId="66E0A077" w14:textId="5278EF4A" w:rsidR="006F602D" w:rsidRDefault="006F602D" w:rsidP="00B67F7A">
      <w:pPr>
        <w:pStyle w:val="ListBullet"/>
        <w:numPr>
          <w:ilvl w:val="0"/>
          <w:numId w:val="0"/>
        </w:numPr>
        <w:ind w:left="283"/>
      </w:pPr>
    </w:p>
    <w:p w14:paraId="62540E24" w14:textId="4DAF5B10" w:rsidR="006F602D" w:rsidRDefault="006F602D" w:rsidP="006F602D">
      <w:pPr>
        <w:pStyle w:val="ListBullet"/>
        <w:numPr>
          <w:ilvl w:val="0"/>
          <w:numId w:val="0"/>
        </w:numPr>
        <w:ind w:left="499" w:hanging="216"/>
      </w:pPr>
    </w:p>
    <w:p w14:paraId="5B454270" w14:textId="77777777" w:rsidR="006F602D" w:rsidRDefault="006F602D" w:rsidP="006F602D">
      <w:pPr>
        <w:pStyle w:val="ListBullet"/>
        <w:numPr>
          <w:ilvl w:val="0"/>
          <w:numId w:val="0"/>
        </w:numPr>
        <w:ind w:left="499" w:hanging="216"/>
      </w:pPr>
    </w:p>
    <w:p w14:paraId="36A49D39" w14:textId="6955D37D" w:rsidR="009E31AB" w:rsidRDefault="00172C30" w:rsidP="009E31AB">
      <w:pPr>
        <w:pStyle w:val="Heading1"/>
        <w:pBdr>
          <w:top w:val="single" w:sz="24" w:space="1" w:color="262626" w:themeColor="text1" w:themeTint="D9"/>
        </w:pBdr>
      </w:pPr>
      <w:r>
        <w:t xml:space="preserve">Utilise the </w:t>
      </w:r>
      <w:proofErr w:type="gramStart"/>
      <w:r>
        <w:t>North West</w:t>
      </w:r>
      <w:proofErr w:type="gramEnd"/>
      <w:r>
        <w:t xml:space="preserve"> </w:t>
      </w:r>
      <w:r w:rsidR="009E31AB">
        <w:t>C</w:t>
      </w:r>
      <w:r w:rsidR="00F22BE3">
        <w:t>onsultation</w:t>
      </w:r>
      <w:r w:rsidR="009E31AB">
        <w:t xml:space="preserve"> Toolkit on Fourteen Fish</w:t>
      </w:r>
    </w:p>
    <w:p w14:paraId="18C31C68" w14:textId="4C8841B0" w:rsidR="00022775" w:rsidRDefault="00316004" w:rsidP="009E31AB">
      <w:pPr>
        <w:pStyle w:val="ListBullet"/>
        <w:numPr>
          <w:ilvl w:val="0"/>
          <w:numId w:val="0"/>
        </w:numPr>
        <w:ind w:left="216" w:hanging="216"/>
      </w:pPr>
      <w:r>
        <w:t xml:space="preserve">You can download the information from the site via PDFs for trainees, including </w:t>
      </w:r>
      <w:proofErr w:type="gramStart"/>
      <w:r>
        <w:t>all of</w:t>
      </w:r>
      <w:proofErr w:type="gramEnd"/>
      <w:r>
        <w:t xml:space="preserve"> the reflective exercises and educational activities to help them develop their consultation skills.</w:t>
      </w:r>
      <w:r w:rsidR="00704A44">
        <w:t xml:space="preserve"> </w:t>
      </w:r>
      <w:r w:rsidR="00704A44" w:rsidRPr="00B67F7A">
        <w:rPr>
          <w:b/>
          <w:bCs/>
        </w:rPr>
        <w:t>Keep these in a folder on your desktop</w:t>
      </w:r>
      <w:r w:rsidR="00976389" w:rsidRPr="00B67F7A">
        <w:rPr>
          <w:b/>
          <w:bCs/>
        </w:rPr>
        <w:t xml:space="preserve">.  The trainees can access these through the </w:t>
      </w:r>
      <w:r w:rsidR="00976389" w:rsidRPr="00B67F7A">
        <w:rPr>
          <w:b/>
          <w:bCs/>
          <w:color w:val="C00000"/>
        </w:rPr>
        <w:t xml:space="preserve">RCA </w:t>
      </w:r>
      <w:r w:rsidR="001E7112" w:rsidRPr="00B67F7A">
        <w:rPr>
          <w:b/>
          <w:bCs/>
          <w:color w:val="C00000"/>
        </w:rPr>
        <w:t>Plus Package</w:t>
      </w:r>
      <w:r w:rsidR="001E7112">
        <w:t>.</w:t>
      </w:r>
    </w:p>
    <w:p w14:paraId="1D676E9E" w14:textId="240B6BB5" w:rsidR="00F53CB7" w:rsidRDefault="00F53CB7" w:rsidP="00022775">
      <w:pPr>
        <w:pStyle w:val="ListBullet"/>
        <w:numPr>
          <w:ilvl w:val="0"/>
          <w:numId w:val="0"/>
        </w:numPr>
        <w:ind w:left="216" w:hanging="216"/>
      </w:pPr>
    </w:p>
    <w:p w14:paraId="652FBD18" w14:textId="5CCB8EA7" w:rsidR="00F53CB7" w:rsidRDefault="00F53CB7" w:rsidP="009E31AB">
      <w:pPr>
        <w:pStyle w:val="ListBullet"/>
        <w:numPr>
          <w:ilvl w:val="0"/>
          <w:numId w:val="0"/>
        </w:numPr>
        <w:ind w:left="216" w:hanging="216"/>
      </w:pPr>
      <w:r>
        <w:t>RCA REVISED FEEDBACK STATEMENTS</w:t>
      </w:r>
    </w:p>
    <w:p w14:paraId="082C8186" w14:textId="0FCBA9F2" w:rsidR="00F53CB7" w:rsidRDefault="00F53CB7" w:rsidP="009E31AB">
      <w:pPr>
        <w:pStyle w:val="ListBullet"/>
        <w:numPr>
          <w:ilvl w:val="0"/>
          <w:numId w:val="0"/>
        </w:numPr>
        <w:ind w:left="216" w:hanging="216"/>
        <w:rPr>
          <w:b/>
          <w:bCs/>
        </w:rPr>
      </w:pPr>
      <w:r>
        <w:t xml:space="preserve">The RCGP have improved the feedback statements </w:t>
      </w:r>
      <w:proofErr w:type="gramStart"/>
      <w:r>
        <w:t>and also</w:t>
      </w:r>
      <w:proofErr w:type="gramEnd"/>
      <w:r>
        <w:t xml:space="preserve"> added various suggested educational strategies for each one. </w:t>
      </w:r>
      <w:proofErr w:type="gramStart"/>
      <w:r>
        <w:t>All of</w:t>
      </w:r>
      <w:proofErr w:type="gramEnd"/>
      <w:r>
        <w:t xml:space="preserve"> the strategies align closely with educational strategies found @ </w:t>
      </w:r>
      <w:r w:rsidR="00EB6A6E">
        <w:rPr>
          <w:b/>
          <w:bCs/>
        </w:rPr>
        <w:t>NW Consultation</w:t>
      </w:r>
      <w:r w:rsidRPr="00350056">
        <w:rPr>
          <w:b/>
          <w:bCs/>
        </w:rPr>
        <w:t xml:space="preserve"> Toolkit</w:t>
      </w:r>
    </w:p>
    <w:p w14:paraId="5C20528F" w14:textId="2140C9B3" w:rsidR="00E1371D" w:rsidRDefault="00D824A7" w:rsidP="001A1A0A">
      <w:pPr>
        <w:pStyle w:val="ListBullet"/>
        <w:numPr>
          <w:ilvl w:val="0"/>
          <w:numId w:val="0"/>
        </w:numPr>
        <w:ind w:left="216" w:hanging="216"/>
        <w:rPr>
          <w:b/>
          <w:bCs/>
        </w:rPr>
      </w:pPr>
      <w:hyperlink r:id="rId13" w:history="1">
        <w:r w:rsidR="00E1371D" w:rsidRPr="00E1371D">
          <w:rPr>
            <w:rStyle w:val="Hyperlink"/>
            <w:b/>
            <w:bCs/>
          </w:rPr>
          <w:t xml:space="preserve">RCA Guidance on </w:t>
        </w:r>
        <w:proofErr w:type="spellStart"/>
        <w:r w:rsidR="00E1371D" w:rsidRPr="00E1371D">
          <w:rPr>
            <w:rStyle w:val="Hyperlink"/>
            <w:b/>
            <w:bCs/>
          </w:rPr>
          <w:t>Utilisation</w:t>
        </w:r>
        <w:proofErr w:type="spellEnd"/>
        <w:r w:rsidR="00E1371D" w:rsidRPr="00E1371D">
          <w:rPr>
            <w:rStyle w:val="Hyperlink"/>
            <w:b/>
            <w:bCs/>
          </w:rPr>
          <w:t xml:space="preserve"> of Feedback Statements</w:t>
        </w:r>
      </w:hyperlink>
    </w:p>
    <w:p w14:paraId="7A919B35" w14:textId="77777777" w:rsidR="00316004" w:rsidRDefault="00316004" w:rsidP="00022775">
      <w:pPr>
        <w:pStyle w:val="ListBullet"/>
        <w:numPr>
          <w:ilvl w:val="0"/>
          <w:numId w:val="0"/>
        </w:numPr>
      </w:pPr>
    </w:p>
    <w:p w14:paraId="1071C701" w14:textId="77777777" w:rsidR="009E31AB" w:rsidRDefault="009E31AB" w:rsidP="009E31AB">
      <w:pPr>
        <w:pStyle w:val="ListBullet"/>
        <w:numPr>
          <w:ilvl w:val="0"/>
          <w:numId w:val="0"/>
        </w:numPr>
      </w:pPr>
    </w:p>
    <w:p w14:paraId="164B2673" w14:textId="043D5B3D" w:rsidR="0090127B" w:rsidRDefault="0090127B" w:rsidP="0090127B">
      <w:pPr>
        <w:pStyle w:val="ListBullet"/>
        <w:numPr>
          <w:ilvl w:val="0"/>
          <w:numId w:val="0"/>
        </w:numPr>
        <w:ind w:left="216" w:hanging="216"/>
        <w:rPr>
          <w:noProof/>
        </w:rPr>
      </w:pPr>
      <w:r>
        <w:rPr>
          <w:noProof/>
        </w:rPr>
        <w:lastRenderedPageBreak/>
        <w:drawing>
          <wp:inline distT="0" distB="0" distL="0" distR="0" wp14:anchorId="5C0635B1" wp14:editId="7546A914">
            <wp:extent cx="5823585" cy="4268470"/>
            <wp:effectExtent l="0" t="0" r="571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25 at 10.03.06.png"/>
                    <pic:cNvPicPr/>
                  </pic:nvPicPr>
                  <pic:blipFill>
                    <a:blip r:embed="rId14">
                      <a:extLst>
                        <a:ext uri="{28A0092B-C50C-407E-A947-70E740481C1C}">
                          <a14:useLocalDpi xmlns:a14="http://schemas.microsoft.com/office/drawing/2010/main" val="0"/>
                        </a:ext>
                      </a:extLst>
                    </a:blip>
                    <a:stretch>
                      <a:fillRect/>
                    </a:stretch>
                  </pic:blipFill>
                  <pic:spPr>
                    <a:xfrm>
                      <a:off x="0" y="0"/>
                      <a:ext cx="5823585" cy="4268470"/>
                    </a:xfrm>
                    <a:prstGeom prst="rect">
                      <a:avLst/>
                    </a:prstGeom>
                  </pic:spPr>
                </pic:pic>
              </a:graphicData>
            </a:graphic>
          </wp:inline>
        </w:drawing>
      </w:r>
    </w:p>
    <w:p w14:paraId="280FB3E7" w14:textId="77777777" w:rsidR="006E061B" w:rsidRPr="006E061B" w:rsidRDefault="006E061B" w:rsidP="006E061B">
      <w:pPr>
        <w:spacing w:after="0" w:line="240" w:lineRule="auto"/>
        <w:rPr>
          <w:rFonts w:ascii="Times New Roman" w:eastAsia="Times New Roman" w:hAnsi="Times New Roman" w:cs="Times New Roman"/>
          <w:color w:val="auto"/>
          <w:sz w:val="24"/>
          <w:szCs w:val="24"/>
          <w:lang w:val="en-GB" w:eastAsia="en-GB"/>
        </w:rPr>
      </w:pPr>
      <w:r w:rsidRPr="006E061B">
        <w:rPr>
          <w:rFonts w:ascii="Arial" w:eastAsia="Times New Roman" w:hAnsi="Arial" w:cs="Arial"/>
          <w:color w:val="B0B0B0"/>
          <w:sz w:val="17"/>
          <w:szCs w:val="17"/>
          <w:shd w:val="clear" w:color="auto" w:fill="FFFFFF"/>
          <w:lang w:val="en-GB" w:eastAsia="en-GB"/>
        </w:rPr>
        <w:t>© Copyright 2018 Anne Hawkridge and David Molyneux HEENW</w:t>
      </w:r>
    </w:p>
    <w:p w14:paraId="40E1D4F4" w14:textId="32B36B69" w:rsidR="002F4D6D" w:rsidRPr="004F1D53" w:rsidRDefault="002F4D6D" w:rsidP="004F1D53"/>
    <w:p w14:paraId="282C5BA9" w14:textId="48C524EE" w:rsidR="002F4D6D" w:rsidRDefault="002F4D6D" w:rsidP="002F4D6D">
      <w:pPr>
        <w:rPr>
          <w:noProof/>
        </w:rPr>
      </w:pPr>
    </w:p>
    <w:p w14:paraId="4E26A3B0" w14:textId="5F55FF92" w:rsidR="002F4D6D" w:rsidRDefault="00EB6A6E" w:rsidP="002F4D6D">
      <w:r>
        <w:rPr>
          <w:b/>
          <w:bCs/>
        </w:rPr>
        <w:t>Consultation Tool</w:t>
      </w:r>
      <w:r w:rsidR="002F4D6D">
        <w:rPr>
          <w:b/>
          <w:bCs/>
        </w:rPr>
        <w:t xml:space="preserve">. </w:t>
      </w:r>
      <w:r w:rsidR="002F4D6D" w:rsidRPr="004F1D53">
        <w:t xml:space="preserve">PDF version can be downloaded from </w:t>
      </w:r>
      <w:r w:rsidR="008E65B9">
        <w:t>NW England Consultation</w:t>
      </w:r>
      <w:r w:rsidR="002F4D6D" w:rsidRPr="004F1D53">
        <w:t xml:space="preserve"> Toolkit site</w:t>
      </w:r>
    </w:p>
    <w:p w14:paraId="1017F002" w14:textId="0D2DC8EA" w:rsidR="002F4D6D" w:rsidRPr="00032390" w:rsidRDefault="00EB6A6E" w:rsidP="004F1D53">
      <w:pPr>
        <w:rPr>
          <w:b/>
          <w:bCs/>
          <w:color w:val="C00000"/>
        </w:rPr>
      </w:pPr>
      <w:r>
        <w:t>Can</w:t>
      </w:r>
      <w:r w:rsidR="00DE3BBC">
        <w:t xml:space="preserve"> RAG circle</w:t>
      </w:r>
      <w:r>
        <w:t>/use the interactive version</w:t>
      </w:r>
      <w:r w:rsidR="00DE3BBC">
        <w:t xml:space="preserve"> to rate</w:t>
      </w:r>
      <w:r w:rsidR="009E31AB">
        <w:t xml:space="preserve"> – the trainer can </w:t>
      </w:r>
      <w:r w:rsidR="009E31AB" w:rsidRPr="00032390">
        <w:rPr>
          <w:b/>
          <w:bCs/>
          <w:color w:val="C00000"/>
        </w:rPr>
        <w:t xml:space="preserve">help them to become better at self-assessing their own consultations.  </w:t>
      </w:r>
    </w:p>
    <w:p w14:paraId="5C0ED587" w14:textId="77777777" w:rsidR="0090127B" w:rsidRDefault="0090127B" w:rsidP="0090127B">
      <w:pPr>
        <w:pStyle w:val="ListBullet"/>
        <w:numPr>
          <w:ilvl w:val="0"/>
          <w:numId w:val="0"/>
        </w:numPr>
        <w:ind w:left="216" w:hanging="216"/>
      </w:pPr>
      <w:r>
        <w:rPr>
          <w:noProof/>
        </w:rPr>
        <w:lastRenderedPageBreak/>
        <w:drawing>
          <wp:inline distT="0" distB="0" distL="0" distR="0" wp14:anchorId="32D1660B" wp14:editId="26447E8D">
            <wp:extent cx="5823585" cy="6926580"/>
            <wp:effectExtent l="0" t="0" r="571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25 at 10.00.29.png"/>
                    <pic:cNvPicPr/>
                  </pic:nvPicPr>
                  <pic:blipFill>
                    <a:blip r:embed="rId15">
                      <a:extLst>
                        <a:ext uri="{28A0092B-C50C-407E-A947-70E740481C1C}">
                          <a14:useLocalDpi xmlns:a14="http://schemas.microsoft.com/office/drawing/2010/main" val="0"/>
                        </a:ext>
                      </a:extLst>
                    </a:blip>
                    <a:stretch>
                      <a:fillRect/>
                    </a:stretch>
                  </pic:blipFill>
                  <pic:spPr>
                    <a:xfrm>
                      <a:off x="0" y="0"/>
                      <a:ext cx="5823585" cy="6926580"/>
                    </a:xfrm>
                    <a:prstGeom prst="rect">
                      <a:avLst/>
                    </a:prstGeom>
                  </pic:spPr>
                </pic:pic>
              </a:graphicData>
            </a:graphic>
          </wp:inline>
        </w:drawing>
      </w:r>
    </w:p>
    <w:p w14:paraId="616F8662" w14:textId="77777777" w:rsidR="006E061B" w:rsidRPr="006E061B" w:rsidRDefault="006E061B" w:rsidP="006E061B">
      <w:pPr>
        <w:spacing w:after="0" w:line="240" w:lineRule="auto"/>
        <w:rPr>
          <w:rFonts w:ascii="Times New Roman" w:eastAsia="Times New Roman" w:hAnsi="Times New Roman" w:cs="Times New Roman"/>
          <w:color w:val="auto"/>
          <w:sz w:val="24"/>
          <w:szCs w:val="24"/>
          <w:lang w:val="en-GB" w:eastAsia="en-GB"/>
        </w:rPr>
      </w:pPr>
      <w:r w:rsidRPr="006E061B">
        <w:rPr>
          <w:rFonts w:ascii="Arial" w:eastAsia="Times New Roman" w:hAnsi="Arial" w:cs="Arial"/>
          <w:color w:val="B0B0B0"/>
          <w:sz w:val="17"/>
          <w:szCs w:val="17"/>
          <w:shd w:val="clear" w:color="auto" w:fill="FFFFFF"/>
          <w:lang w:val="en-GB" w:eastAsia="en-GB"/>
        </w:rPr>
        <w:t>© Copyright 2018 Anne Hawkridge and David Molyneux HEENW</w:t>
      </w:r>
    </w:p>
    <w:p w14:paraId="34910F4E" w14:textId="77777777" w:rsidR="006E061B" w:rsidRDefault="006E061B" w:rsidP="0090127B">
      <w:pPr>
        <w:pStyle w:val="ListBullet"/>
        <w:numPr>
          <w:ilvl w:val="0"/>
          <w:numId w:val="0"/>
        </w:numPr>
        <w:ind w:left="216" w:hanging="216"/>
        <w:rPr>
          <w:b/>
          <w:bCs/>
        </w:rPr>
      </w:pPr>
    </w:p>
    <w:p w14:paraId="40228E62" w14:textId="013A7B67" w:rsidR="0090127B" w:rsidRPr="004F1D53" w:rsidRDefault="008E65B9" w:rsidP="0090127B">
      <w:pPr>
        <w:pStyle w:val="ListBullet"/>
        <w:numPr>
          <w:ilvl w:val="0"/>
          <w:numId w:val="0"/>
        </w:numPr>
        <w:ind w:left="216" w:hanging="216"/>
        <w:rPr>
          <w:b/>
          <w:bCs/>
        </w:rPr>
      </w:pPr>
      <w:r>
        <w:rPr>
          <w:b/>
          <w:bCs/>
        </w:rPr>
        <w:t>Consultation Overview</w:t>
      </w:r>
    </w:p>
    <w:p w14:paraId="08BD267D" w14:textId="735D6252" w:rsidR="0090127B" w:rsidRDefault="0090127B" w:rsidP="0090127B">
      <w:pPr>
        <w:pStyle w:val="ListBullet"/>
        <w:numPr>
          <w:ilvl w:val="0"/>
          <w:numId w:val="18"/>
        </w:numPr>
      </w:pPr>
      <w:r>
        <w:t xml:space="preserve">The trainee has </w:t>
      </w:r>
      <w:r w:rsidRPr="004F1D53">
        <w:rPr>
          <w:b/>
          <w:bCs/>
        </w:rPr>
        <w:t>ownership of their submission</w:t>
      </w:r>
      <w:r>
        <w:t xml:space="preserve"> with the trainer and educator for support and guidance.  Encourage use of the resources.  </w:t>
      </w:r>
    </w:p>
    <w:p w14:paraId="5B7A3791" w14:textId="0EB004BC" w:rsidR="0090127B" w:rsidRDefault="0090127B" w:rsidP="0090127B">
      <w:pPr>
        <w:pStyle w:val="ListBullet"/>
        <w:numPr>
          <w:ilvl w:val="0"/>
          <w:numId w:val="18"/>
        </w:numPr>
      </w:pPr>
      <w:r>
        <w:t xml:space="preserve">The trainee needs to ensure they are appropriately analyzing their videos – to become their own RCA examiner, </w:t>
      </w:r>
      <w:proofErr w:type="gramStart"/>
      <w:r>
        <w:t>in order to</w:t>
      </w:r>
      <w:proofErr w:type="gramEnd"/>
      <w:r>
        <w:t xml:space="preserve"> select appropriate cases for submission</w:t>
      </w:r>
    </w:p>
    <w:p w14:paraId="63547B6A" w14:textId="6091C6D8" w:rsidR="00847AED" w:rsidRPr="00EB6A6E" w:rsidRDefault="00847AED" w:rsidP="00847AED">
      <w:pPr>
        <w:pStyle w:val="ListBullet"/>
        <w:rPr>
          <w:lang w:val="en-GB"/>
        </w:rPr>
      </w:pPr>
      <w:r w:rsidRPr="00847AED">
        <w:rPr>
          <w:b/>
          <w:bCs/>
        </w:rPr>
        <w:lastRenderedPageBreak/>
        <w:t>The selection for submission is theirs</w:t>
      </w:r>
      <w:r>
        <w:rPr>
          <w:lang w:val="en-GB"/>
        </w:rPr>
        <w:t xml:space="preserve"> - </w:t>
      </w:r>
      <w:r w:rsidRPr="00E1371D">
        <w:rPr>
          <w:b/>
          <w:bCs/>
          <w:color w:val="FF0000"/>
        </w:rPr>
        <w:t xml:space="preserve">do not tell them a video will pass </w:t>
      </w:r>
      <w:r w:rsidRPr="00847AED">
        <w:rPr>
          <w:b/>
          <w:bCs/>
        </w:rPr>
        <w:t>– support them in how to self</w:t>
      </w:r>
      <w:r w:rsidR="00B2587F">
        <w:rPr>
          <w:b/>
          <w:bCs/>
        </w:rPr>
        <w:t>-</w:t>
      </w:r>
      <w:r w:rsidRPr="00847AED">
        <w:rPr>
          <w:b/>
          <w:bCs/>
        </w:rPr>
        <w:t>assess so they make the ultimate judgement!</w:t>
      </w:r>
    </w:p>
    <w:p w14:paraId="53862B67" w14:textId="62A10C92" w:rsidR="00EB6A6E" w:rsidRPr="00847AED" w:rsidRDefault="00EB6A6E" w:rsidP="00847AED">
      <w:pPr>
        <w:pStyle w:val="ListBullet"/>
        <w:rPr>
          <w:lang w:val="en-GB"/>
        </w:rPr>
      </w:pPr>
      <w:r>
        <w:rPr>
          <w:b/>
          <w:bCs/>
        </w:rPr>
        <w:t>Use formative not summative feedback</w:t>
      </w:r>
    </w:p>
    <w:p w14:paraId="11B24C22" w14:textId="77777777" w:rsidR="00847AED" w:rsidRDefault="00847AED" w:rsidP="00847AED">
      <w:pPr>
        <w:pStyle w:val="ListBullet"/>
        <w:numPr>
          <w:ilvl w:val="0"/>
          <w:numId w:val="0"/>
        </w:numPr>
        <w:ind w:left="720"/>
      </w:pPr>
    </w:p>
    <w:p w14:paraId="438DB2D2" w14:textId="47B3068B" w:rsidR="00D5033E" w:rsidRDefault="00D5033E" w:rsidP="00D5033E">
      <w:pPr>
        <w:pStyle w:val="Heading1"/>
        <w:pBdr>
          <w:top w:val="single" w:sz="24" w:space="1" w:color="262626" w:themeColor="text1" w:themeTint="D9"/>
        </w:pBdr>
      </w:pPr>
      <w:r>
        <w:t>helping your trainee to decide when to take the RCA</w:t>
      </w:r>
    </w:p>
    <w:p w14:paraId="7D35A481" w14:textId="3A0EE4BA" w:rsidR="00AD7876" w:rsidRDefault="00AD7876" w:rsidP="009271DE">
      <w:pPr>
        <w:pStyle w:val="ListBullet"/>
        <w:numPr>
          <w:ilvl w:val="0"/>
          <w:numId w:val="0"/>
        </w:numPr>
        <w:ind w:left="720"/>
      </w:pPr>
    </w:p>
    <w:p w14:paraId="6869926D" w14:textId="44176819" w:rsidR="00D5033E" w:rsidRDefault="00D5033E" w:rsidP="00D5033E">
      <w:pPr>
        <w:pStyle w:val="ListBullet"/>
        <w:numPr>
          <w:ilvl w:val="0"/>
          <w:numId w:val="30"/>
        </w:numPr>
      </w:pPr>
      <w:r>
        <w:t xml:space="preserve">Remember that July and August RCA sittings were in exceptional times and additional to the maximum 4 exam attempts, but future sittings will now count </w:t>
      </w:r>
    </w:p>
    <w:p w14:paraId="7809E80E" w14:textId="5484D143" w:rsidR="00D5033E" w:rsidRDefault="00DA164F" w:rsidP="00D5033E">
      <w:pPr>
        <w:pStyle w:val="ListBullet"/>
        <w:numPr>
          <w:ilvl w:val="0"/>
          <w:numId w:val="30"/>
        </w:numPr>
      </w:pPr>
      <w:r>
        <w:t>In general trainee guidance is to take the exam a maximum of 2 attempts in their ST3 year, leaving a further 2 sittings for any extension period</w:t>
      </w:r>
      <w:r w:rsidR="00704A44">
        <w:t xml:space="preserve">. It is important that </w:t>
      </w:r>
      <w:r w:rsidR="00CF19CD">
        <w:t xml:space="preserve">RCA </w:t>
      </w:r>
      <w:r w:rsidR="00704A44">
        <w:t>re-</w:t>
      </w:r>
      <w:r w:rsidR="00CF19CD">
        <w:t>takes</w:t>
      </w:r>
      <w:r w:rsidR="00704A44">
        <w:t xml:space="preserve"> are not submitted before a trainee has progressed in the areas of poor performance</w:t>
      </w:r>
      <w:r w:rsidR="00CF19CD">
        <w:t>.</w:t>
      </w:r>
    </w:p>
    <w:p w14:paraId="734BFF67" w14:textId="5F5F59E9" w:rsidR="00DA164F" w:rsidRDefault="00DA164F" w:rsidP="00D5033E">
      <w:pPr>
        <w:pStyle w:val="ListBullet"/>
        <w:numPr>
          <w:ilvl w:val="0"/>
          <w:numId w:val="30"/>
        </w:numPr>
      </w:pPr>
      <w:r>
        <w:t>Consider a holistic approach to exam timing – consider what is going on in the trainee’s life with the range of external factors that might impact on their exam preparation</w:t>
      </w:r>
    </w:p>
    <w:p w14:paraId="68093701" w14:textId="12935180" w:rsidR="00DA164F" w:rsidRDefault="00CA4EED" w:rsidP="00D5033E">
      <w:pPr>
        <w:pStyle w:val="ListBullet"/>
        <w:numPr>
          <w:ilvl w:val="0"/>
          <w:numId w:val="30"/>
        </w:numPr>
      </w:pPr>
      <w:r>
        <w:t>Consider if they might benefit from Health and Wellbeing support or a discussion with the training programme director</w:t>
      </w:r>
      <w:r w:rsidR="00A55A0F">
        <w:t>/</w:t>
      </w:r>
      <w:r>
        <w:t>educator team</w:t>
      </w:r>
    </w:p>
    <w:p w14:paraId="44C1E3E3" w14:textId="0017C311" w:rsidR="00172C30" w:rsidRDefault="0031155A" w:rsidP="00EB6A6E">
      <w:pPr>
        <w:pStyle w:val="ListBullet"/>
        <w:numPr>
          <w:ilvl w:val="0"/>
          <w:numId w:val="30"/>
        </w:numPr>
      </w:pPr>
      <w:r>
        <w:t>There is a section on the RCGP website that allows trainees to apply for</w:t>
      </w:r>
      <w:r w:rsidR="001F2D33">
        <w:t xml:space="preserve"> special</w:t>
      </w:r>
      <w:r>
        <w:t xml:space="preserve"> exam adjustments if appropriat</w:t>
      </w:r>
      <w:r w:rsidR="00EB6A6E">
        <w:t>e</w:t>
      </w:r>
    </w:p>
    <w:p w14:paraId="06738C05" w14:textId="77777777" w:rsidR="00022775" w:rsidRDefault="00022775" w:rsidP="00A55A0F">
      <w:pPr>
        <w:pStyle w:val="ListBullet"/>
        <w:numPr>
          <w:ilvl w:val="0"/>
          <w:numId w:val="0"/>
        </w:numPr>
        <w:ind w:left="720"/>
      </w:pPr>
    </w:p>
    <w:p w14:paraId="0170E4E9" w14:textId="259428B1" w:rsidR="00A55A0F" w:rsidRDefault="00A55A0F" w:rsidP="00A55A0F">
      <w:pPr>
        <w:pStyle w:val="Heading1"/>
        <w:pBdr>
          <w:top w:val="single" w:sz="24" w:space="1" w:color="262626" w:themeColor="text1" w:themeTint="D9"/>
        </w:pBdr>
      </w:pPr>
      <w:r>
        <w:t>SOX programme</w:t>
      </w:r>
      <w:r w:rsidR="00172856">
        <w:t xml:space="preserve"> and utilising SOX themes locally</w:t>
      </w:r>
    </w:p>
    <w:p w14:paraId="236B5AB1" w14:textId="66CCC0B6" w:rsidR="00A55A0F" w:rsidRDefault="00A55A0F" w:rsidP="00A55A0F">
      <w:pPr>
        <w:pStyle w:val="ListBullet"/>
        <w:numPr>
          <w:ilvl w:val="0"/>
          <w:numId w:val="0"/>
        </w:numPr>
        <w:ind w:left="720"/>
      </w:pPr>
    </w:p>
    <w:p w14:paraId="5809F7DB" w14:textId="420F1F7C" w:rsidR="00A55A0F" w:rsidRDefault="00A55A0F" w:rsidP="00A55A0F">
      <w:pPr>
        <w:pStyle w:val="ListBullet"/>
        <w:numPr>
          <w:ilvl w:val="0"/>
          <w:numId w:val="32"/>
        </w:numPr>
      </w:pPr>
      <w:r>
        <w:t>Central SOX support was offered to all trainees taking the RCA in the exceptional circumstances period of July and August 2020</w:t>
      </w:r>
    </w:p>
    <w:p w14:paraId="51302546" w14:textId="2B7F46C1" w:rsidR="00A55A0F" w:rsidRDefault="00A55A0F" w:rsidP="00A55A0F">
      <w:pPr>
        <w:pStyle w:val="ListBullet"/>
        <w:numPr>
          <w:ilvl w:val="0"/>
          <w:numId w:val="32"/>
        </w:numPr>
      </w:pPr>
      <w:r>
        <w:t xml:space="preserve">Central SOX support for future sittings will be offered to trainees </w:t>
      </w:r>
      <w:r w:rsidR="00EB6A6E">
        <w:t>after every RCA fail</w:t>
      </w:r>
    </w:p>
    <w:p w14:paraId="6CB9C7D3" w14:textId="1A19F9AF" w:rsidR="00A55A0F" w:rsidRDefault="00A55A0F" w:rsidP="00A55A0F">
      <w:pPr>
        <w:pStyle w:val="ListBullet"/>
        <w:numPr>
          <w:ilvl w:val="0"/>
          <w:numId w:val="32"/>
        </w:numPr>
      </w:pPr>
      <w:r>
        <w:t xml:space="preserve">Trainer groups in some areas are setting up a local system of SOX support for trainees before their first RCA attempt with trainers buddying up to arrange a single triadic tutorial for each ST3 </w:t>
      </w:r>
      <w:r w:rsidR="00CC64F9">
        <w:t>(Trainer A joins the trainee and their trainer B for their tutorial one week on Microsoft Teams and another week there is similar swap where Trainer B joins trainer A and their trainee)</w:t>
      </w:r>
    </w:p>
    <w:p w14:paraId="5EC7984A" w14:textId="77777777" w:rsidR="00740E99" w:rsidRDefault="00740E99" w:rsidP="00A55A0F">
      <w:pPr>
        <w:pStyle w:val="ListBullet"/>
        <w:numPr>
          <w:ilvl w:val="0"/>
          <w:numId w:val="32"/>
        </w:numPr>
      </w:pPr>
      <w:r w:rsidRPr="002D365E">
        <w:rPr>
          <w:b/>
          <w:bCs/>
        </w:rPr>
        <w:t>Local SOX</w:t>
      </w:r>
      <w:r>
        <w:t xml:space="preserve"> might be helped by:</w:t>
      </w:r>
    </w:p>
    <w:p w14:paraId="7406398E" w14:textId="79792E1B" w:rsidR="00740E99" w:rsidRDefault="00740E99" w:rsidP="00740E99">
      <w:pPr>
        <w:pStyle w:val="ListBullet"/>
        <w:numPr>
          <w:ilvl w:val="1"/>
          <w:numId w:val="32"/>
        </w:numPr>
      </w:pPr>
      <w:proofErr w:type="gramStart"/>
      <w:r>
        <w:t>a</w:t>
      </w:r>
      <w:proofErr w:type="gramEnd"/>
      <w:r>
        <w:t xml:space="preserve"> </w:t>
      </w:r>
      <w:r w:rsidR="00CF19CD">
        <w:t xml:space="preserve">RCA </w:t>
      </w:r>
      <w:r>
        <w:t xml:space="preserve">trainee questionnaire </w:t>
      </w:r>
      <w:r w:rsidR="00CE69D8">
        <w:t xml:space="preserve">(see separate attachment) </w:t>
      </w:r>
      <w:r>
        <w:t xml:space="preserve">that helps the second trainer to get to know the trainee quickly </w:t>
      </w:r>
    </w:p>
    <w:p w14:paraId="4F47EC09" w14:textId="2DDAE45D" w:rsidR="00CC64F9" w:rsidRDefault="00740E99" w:rsidP="00740E99">
      <w:pPr>
        <w:pStyle w:val="ListBullet"/>
        <w:numPr>
          <w:ilvl w:val="1"/>
          <w:numId w:val="32"/>
        </w:numPr>
      </w:pPr>
      <w:r>
        <w:t>discussion with the trainer to find out the areas of difficulty as they see them and where the second trainer can best help (sometime just reiterating trainer identified points can be of great help and support to the trainer)</w:t>
      </w:r>
    </w:p>
    <w:p w14:paraId="7A9E730A" w14:textId="4620ED74" w:rsidR="00490B53" w:rsidRPr="002D365E" w:rsidRDefault="00740E99" w:rsidP="002D365E">
      <w:pPr>
        <w:pStyle w:val="ListBullet"/>
        <w:numPr>
          <w:ilvl w:val="1"/>
          <w:numId w:val="32"/>
        </w:numPr>
        <w:rPr>
          <w:b/>
          <w:bCs/>
          <w:u w:val="single"/>
        </w:rPr>
      </w:pPr>
      <w:r>
        <w:lastRenderedPageBreak/>
        <w:t>viewing a consultation that the trainer and trainee want an opinion on</w:t>
      </w:r>
      <w:r w:rsidR="000D7871">
        <w:t xml:space="preserve">, as a fresh pair of eyes, </w:t>
      </w:r>
      <w:r>
        <w:t>to help with calibration and identifying main themes where the trainee needs to do further work, developing a strategy with them</w:t>
      </w:r>
    </w:p>
    <w:p w14:paraId="2BB03587" w14:textId="138DAF48" w:rsidR="00E04A42" w:rsidRDefault="00A41A49" w:rsidP="00E04A42">
      <w:pPr>
        <w:pStyle w:val="Heading1"/>
      </w:pPr>
      <w:r>
        <w:t>Useful Links to RCA resources</w:t>
      </w:r>
    </w:p>
    <w:p w14:paraId="587B6EF1" w14:textId="77777777" w:rsidR="00A065AC" w:rsidRPr="00A41A49" w:rsidRDefault="00A065AC" w:rsidP="00A065AC">
      <w:pPr>
        <w:rPr>
          <w:b/>
          <w:bCs/>
          <w:color w:val="FF0000"/>
          <w:u w:val="single"/>
        </w:rPr>
      </w:pPr>
    </w:p>
    <w:p w14:paraId="2F26BDA1" w14:textId="194982C9" w:rsidR="00925619" w:rsidRPr="00A41A49" w:rsidRDefault="00D824A7" w:rsidP="00490B53">
      <w:pPr>
        <w:rPr>
          <w:b/>
          <w:bCs/>
          <w:color w:val="FF0000"/>
        </w:rPr>
      </w:pPr>
      <w:hyperlink r:id="rId16" w:history="1">
        <w:r w:rsidR="00925619" w:rsidRPr="00A41A49">
          <w:rPr>
            <w:rStyle w:val="Hyperlink"/>
            <w:b/>
            <w:bCs/>
            <w:color w:val="FF0000"/>
          </w:rPr>
          <w:t>RCA Assessment Policy</w:t>
        </w:r>
      </w:hyperlink>
    </w:p>
    <w:p w14:paraId="342B20E0" w14:textId="3B9CDF75" w:rsidR="00925619" w:rsidRDefault="00D824A7" w:rsidP="00490B53">
      <w:pPr>
        <w:rPr>
          <w:rStyle w:val="Hyperlink"/>
          <w:b/>
          <w:bCs/>
          <w:color w:val="FF0000"/>
        </w:rPr>
      </w:pPr>
      <w:hyperlink r:id="rId17" w:history="1">
        <w:r w:rsidR="00925619" w:rsidRPr="00A41A49">
          <w:rPr>
            <w:rStyle w:val="Hyperlink"/>
            <w:b/>
            <w:bCs/>
            <w:color w:val="FF0000"/>
          </w:rPr>
          <w:t>RCA FAQs</w:t>
        </w:r>
      </w:hyperlink>
    </w:p>
    <w:p w14:paraId="0C355876" w14:textId="3B268640" w:rsidR="00B67F7A" w:rsidRPr="00A41A49" w:rsidRDefault="00D824A7" w:rsidP="00490B53">
      <w:pPr>
        <w:rPr>
          <w:b/>
          <w:bCs/>
          <w:color w:val="FF0000"/>
        </w:rPr>
      </w:pPr>
      <w:hyperlink r:id="rId18" w:history="1">
        <w:r w:rsidR="00B67F7A" w:rsidRPr="00B67F7A">
          <w:rPr>
            <w:rStyle w:val="Hyperlink"/>
            <w:b/>
            <w:bCs/>
          </w:rPr>
          <w:t>Mandatory Case Selection Criteria</w:t>
        </w:r>
      </w:hyperlink>
    </w:p>
    <w:p w14:paraId="4BC84F9E" w14:textId="70876D63" w:rsidR="00925619" w:rsidRPr="00A41A49" w:rsidRDefault="00D824A7" w:rsidP="00490B53">
      <w:pPr>
        <w:rPr>
          <w:b/>
          <w:bCs/>
          <w:color w:val="FF0000"/>
        </w:rPr>
      </w:pPr>
      <w:hyperlink r:id="rId19" w:history="1">
        <w:r w:rsidR="00925619" w:rsidRPr="00A41A49">
          <w:rPr>
            <w:rStyle w:val="Hyperlink"/>
            <w:b/>
            <w:bCs/>
            <w:color w:val="FF0000"/>
          </w:rPr>
          <w:t>Educator top tips</w:t>
        </w:r>
      </w:hyperlink>
    </w:p>
    <w:p w14:paraId="3981EADD" w14:textId="042E932E" w:rsidR="00925619" w:rsidRPr="00A41A49" w:rsidRDefault="00D824A7" w:rsidP="00490B53">
      <w:pPr>
        <w:rPr>
          <w:b/>
          <w:bCs/>
          <w:color w:val="FF0000"/>
        </w:rPr>
      </w:pPr>
      <w:hyperlink r:id="rId20" w:history="1">
        <w:r w:rsidR="00925619" w:rsidRPr="00A41A49">
          <w:rPr>
            <w:rStyle w:val="Hyperlink"/>
            <w:b/>
            <w:bCs/>
            <w:color w:val="FF0000"/>
          </w:rPr>
          <w:t>Guidance on avoiding low challenge cases</w:t>
        </w:r>
      </w:hyperlink>
    </w:p>
    <w:p w14:paraId="09D0FD3E" w14:textId="11DED4ED" w:rsidR="00576773" w:rsidRPr="00A41A49" w:rsidRDefault="00D824A7" w:rsidP="00490B53">
      <w:pPr>
        <w:rPr>
          <w:b/>
          <w:bCs/>
          <w:color w:val="FF0000"/>
        </w:rPr>
      </w:pPr>
      <w:hyperlink r:id="rId21" w:history="1">
        <w:r w:rsidR="00576773" w:rsidRPr="00A41A49">
          <w:rPr>
            <w:rStyle w:val="Hyperlink"/>
            <w:b/>
            <w:bCs/>
            <w:color w:val="FF0000"/>
          </w:rPr>
          <w:t>Guidance on consent</w:t>
        </w:r>
      </w:hyperlink>
    </w:p>
    <w:p w14:paraId="3F501B46" w14:textId="666A4459" w:rsidR="00B13D42" w:rsidRPr="00A41A49" w:rsidRDefault="00D824A7" w:rsidP="00490B53">
      <w:pPr>
        <w:rPr>
          <w:rStyle w:val="Hyperlink"/>
          <w:b/>
          <w:bCs/>
          <w:color w:val="FF0000"/>
        </w:rPr>
      </w:pPr>
      <w:hyperlink r:id="rId22" w:history="1">
        <w:r w:rsidR="00576773" w:rsidRPr="00A41A49">
          <w:rPr>
            <w:rStyle w:val="Hyperlink"/>
            <w:b/>
            <w:bCs/>
            <w:color w:val="FF0000"/>
          </w:rPr>
          <w:t>MRCGP exam regulations</w:t>
        </w:r>
      </w:hyperlink>
    </w:p>
    <w:p w14:paraId="18026B32" w14:textId="5ED92E48" w:rsidR="00640AE3" w:rsidRDefault="00D824A7" w:rsidP="00490B53">
      <w:pPr>
        <w:rPr>
          <w:rStyle w:val="Hyperlink"/>
          <w:b/>
          <w:bCs/>
          <w:color w:val="FF0000"/>
        </w:rPr>
      </w:pPr>
      <w:hyperlink r:id="rId23" w:history="1">
        <w:r w:rsidR="00B13D42" w:rsidRPr="00A41A49">
          <w:rPr>
            <w:rStyle w:val="Hyperlink"/>
            <w:b/>
            <w:bCs/>
            <w:color w:val="FF0000"/>
          </w:rPr>
          <w:t>Fourteen Fish Guidance on Recordings</w:t>
        </w:r>
      </w:hyperlink>
    </w:p>
    <w:p w14:paraId="6C214D28" w14:textId="5499EBBE" w:rsidR="00640AE3" w:rsidRDefault="00640AE3" w:rsidP="00490B53">
      <w:pPr>
        <w:rPr>
          <w:rStyle w:val="Hyperlink"/>
          <w:b/>
          <w:bCs/>
          <w:color w:val="FF0000"/>
        </w:rPr>
      </w:pPr>
    </w:p>
    <w:p w14:paraId="2FF5CDBD" w14:textId="2995D7FB" w:rsidR="00640AE3" w:rsidRPr="00A41A49" w:rsidRDefault="00640AE3" w:rsidP="00490B53">
      <w:pPr>
        <w:rPr>
          <w:b/>
          <w:bCs/>
          <w:color w:val="FF0000"/>
        </w:rPr>
      </w:pPr>
    </w:p>
    <w:sectPr w:rsidR="00640AE3" w:rsidRPr="00A41A49" w:rsidSect="000B6BD0">
      <w:headerReference w:type="default" r:id="rId24"/>
      <w:footerReference w:type="default" r:id="rId25"/>
      <w:headerReference w:type="first" r:id="rId26"/>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41A6" w14:textId="77777777" w:rsidR="00AE1C2F" w:rsidRDefault="00AE1C2F">
      <w:r>
        <w:separator/>
      </w:r>
    </w:p>
  </w:endnote>
  <w:endnote w:type="continuationSeparator" w:id="0">
    <w:p w14:paraId="7083B3C5" w14:textId="77777777" w:rsidR="00AE1C2F" w:rsidRDefault="00AE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ahoma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83C9" w14:textId="4F20A66D" w:rsidR="00F926F6" w:rsidRDefault="00E17DB8" w:rsidP="00E17DB8">
    <w:pPr>
      <w:pStyle w:val="Footer"/>
      <w:jc w:val="right"/>
    </w:pPr>
    <w:r>
      <w:rPr>
        <w:lang w:val="en-GB" w:bidi="en-GB"/>
      </w:rPr>
      <w:t>(</w:t>
    </w:r>
    <w:r w:rsidR="00624315">
      <w:rPr>
        <w:lang w:val="en-GB" w:bidi="en-GB"/>
      </w:rPr>
      <w:t>October 2021</w:t>
    </w:r>
    <w:r>
      <w:rPr>
        <w:lang w:val="en-GB" w:bidi="en-GB"/>
      </w:rPr>
      <w:t xml:space="preserve">) </w:t>
    </w:r>
    <w:r>
      <w:rPr>
        <w:lang w:val="en-GB" w:bidi="en-GB"/>
      </w:rPr>
      <w:tab/>
    </w:r>
    <w:r w:rsidR="001D3646">
      <w:rPr>
        <w:lang w:val="en-GB" w:bidi="en-GB"/>
      </w:rPr>
      <w:fldChar w:fldCharType="begin"/>
    </w:r>
    <w:r w:rsidR="001D3646">
      <w:rPr>
        <w:lang w:val="en-GB" w:bidi="en-GB"/>
      </w:rPr>
      <w:instrText xml:space="preserve"> PAGE   \* MERGEFORMAT </w:instrText>
    </w:r>
    <w:r w:rsidR="001D3646">
      <w:rPr>
        <w:lang w:val="en-GB" w:bidi="en-GB"/>
      </w:rPr>
      <w:fldChar w:fldCharType="separate"/>
    </w:r>
    <w:r w:rsidR="001D3646">
      <w:rPr>
        <w:noProof/>
        <w:lang w:val="en-GB" w:bidi="en-GB"/>
      </w:rPr>
      <w:t>0</w:t>
    </w:r>
    <w:r w:rsidR="001D3646">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7779" w14:textId="77777777" w:rsidR="00AE1C2F" w:rsidRDefault="00AE1C2F">
      <w:r>
        <w:separator/>
      </w:r>
    </w:p>
  </w:footnote>
  <w:footnote w:type="continuationSeparator" w:id="0">
    <w:p w14:paraId="3470E6F5" w14:textId="77777777" w:rsidR="00AE1C2F" w:rsidRDefault="00AE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C3A9" w14:textId="77777777" w:rsidR="00F926F6" w:rsidRDefault="001D3646">
    <w:r>
      <w:rPr>
        <w:noProof/>
        <w:lang w:eastAsia="zh-CN" w:bidi="he-IL"/>
      </w:rPr>
      <mc:AlternateContent>
        <mc:Choice Requires="wps">
          <w:drawing>
            <wp:anchor distT="0" distB="0" distL="114300" distR="114300" simplePos="0" relativeHeight="251665408" behindDoc="1" locked="0" layoutInCell="1" allowOverlap="1" wp14:anchorId="2CE0EF51" wp14:editId="7C026BCA">
              <wp:simplePos x="876300" y="457200"/>
              <wp:positionH relativeFrom="page">
                <wp:align>center</wp:align>
              </wp:positionH>
              <wp:positionV relativeFrom="page">
                <wp:align>center</wp:align>
              </wp:positionV>
              <wp:extent cx="5013960" cy="7205980"/>
              <wp:effectExtent l="0" t="0" r="0" b="0"/>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65E34E52"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" path="m,l5013960,r,7205980l,7205980,,xm130564,130564r,6944852l4883396,7075416r,-6944852l130564,130564xe" fillcolor="#c00000"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D251" w14:textId="01F09DE6" w:rsidR="00F926F6" w:rsidRDefault="004F0C39" w:rsidP="004F0C39">
    <w:pPr>
      <w:jc w:val="right"/>
    </w:pPr>
    <w:r>
      <w:rPr>
        <w:noProof/>
        <w:lang w:eastAsia="zh-CN" w:bidi="he-IL"/>
      </w:rPr>
      <w:drawing>
        <wp:inline distT="0" distB="0" distL="0" distR="0" wp14:anchorId="06E63469" wp14:editId="5C8161D8">
          <wp:extent cx="1362710" cy="3827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284" cy="390517"/>
                  </a:xfrm>
                  <a:prstGeom prst="rect">
                    <a:avLst/>
                  </a:prstGeom>
                </pic:spPr>
              </pic:pic>
            </a:graphicData>
          </a:graphic>
        </wp:inline>
      </w:drawing>
    </w:r>
    <w:r w:rsidR="001D3646">
      <w:rPr>
        <w:noProof/>
        <w:lang w:eastAsia="zh-CN" w:bidi="he-IL"/>
      </w:rPr>
      <mc:AlternateContent>
        <mc:Choice Requires="wpg">
          <w:drawing>
            <wp:anchor distT="0" distB="0" distL="114300" distR="114300" simplePos="0" relativeHeight="251663360" behindDoc="1" locked="0" layoutInCell="1" allowOverlap="1" wp14:anchorId="460CBAC8" wp14:editId="0E86E842">
              <wp:simplePos x="0" y="0"/>
              <wp:positionH relativeFrom="page">
                <wp:align>center</wp:align>
              </wp:positionH>
              <wp:positionV relativeFrom="page">
                <wp:align>center</wp:align>
              </wp:positionV>
              <wp:extent cx="5012690" cy="7207250"/>
              <wp:effectExtent l="0" t="0" r="0" b="0"/>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7FFF0FBF" w14:textId="77777777" w:rsidR="00F926F6" w:rsidRDefault="00F926F6">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460CBAC8" id="Group 4" o:spid="_x0000_s1026" alt="Title: Page frame with tab" style="position:absolute;left:0;text-align:left;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">
              <v:shape id="Frame 5" o:spid="_x0000_s1027" style="position:absolute;left:1333;width:73152;height:96012;visibility:visible;mso-wrap-style:square;v-text-anchor:middle" coordsize="73152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" path="m,l7315200,r,9601200l,9601200,,xm190488,190488r,9220224l7124712,9410712r,-9220224l190488,190488xe" fillcolor="#c00000"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7FFF0FBF" w14:textId="77777777" w:rsidR="00F926F6" w:rsidRDefault="00F926F6">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4B021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3779"/>
    <w:multiLevelType w:val="multilevel"/>
    <w:tmpl w:val="C0843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E05532"/>
    <w:multiLevelType w:val="multilevel"/>
    <w:tmpl w:val="5B0EA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BEF79D4"/>
    <w:multiLevelType w:val="hybridMultilevel"/>
    <w:tmpl w:val="1678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FE3318"/>
    <w:multiLevelType w:val="hybridMultilevel"/>
    <w:tmpl w:val="B18A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760A76"/>
    <w:multiLevelType w:val="hybridMultilevel"/>
    <w:tmpl w:val="E8B85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2021034"/>
    <w:multiLevelType w:val="multilevel"/>
    <w:tmpl w:val="898E7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DB20E8"/>
    <w:multiLevelType w:val="hybridMultilevel"/>
    <w:tmpl w:val="5ED0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306D95"/>
    <w:multiLevelType w:val="multilevel"/>
    <w:tmpl w:val="7CA8B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7F64C28"/>
    <w:multiLevelType w:val="hybridMultilevel"/>
    <w:tmpl w:val="C78CF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F0DE0"/>
    <w:multiLevelType w:val="hybridMultilevel"/>
    <w:tmpl w:val="F2321054"/>
    <w:lvl w:ilvl="0" w:tplc="BDF292CA">
      <w:start w:val="1"/>
      <w:numFmt w:val="bullet"/>
      <w:lvlText w:val="•"/>
      <w:lvlJc w:val="left"/>
      <w:pPr>
        <w:tabs>
          <w:tab w:val="num" w:pos="720"/>
        </w:tabs>
        <w:ind w:left="720" w:hanging="360"/>
      </w:pPr>
      <w:rPr>
        <w:rFonts w:ascii="Arial" w:hAnsi="Arial" w:hint="default"/>
      </w:rPr>
    </w:lvl>
    <w:lvl w:ilvl="1" w:tplc="D26064DC" w:tentative="1">
      <w:start w:val="1"/>
      <w:numFmt w:val="bullet"/>
      <w:lvlText w:val="•"/>
      <w:lvlJc w:val="left"/>
      <w:pPr>
        <w:tabs>
          <w:tab w:val="num" w:pos="1440"/>
        </w:tabs>
        <w:ind w:left="1440" w:hanging="360"/>
      </w:pPr>
      <w:rPr>
        <w:rFonts w:ascii="Arial" w:hAnsi="Arial" w:hint="default"/>
      </w:rPr>
    </w:lvl>
    <w:lvl w:ilvl="2" w:tplc="DDB4D8A2" w:tentative="1">
      <w:start w:val="1"/>
      <w:numFmt w:val="bullet"/>
      <w:lvlText w:val="•"/>
      <w:lvlJc w:val="left"/>
      <w:pPr>
        <w:tabs>
          <w:tab w:val="num" w:pos="2160"/>
        </w:tabs>
        <w:ind w:left="2160" w:hanging="360"/>
      </w:pPr>
      <w:rPr>
        <w:rFonts w:ascii="Arial" w:hAnsi="Arial" w:hint="default"/>
      </w:rPr>
    </w:lvl>
    <w:lvl w:ilvl="3" w:tplc="5FF841C2" w:tentative="1">
      <w:start w:val="1"/>
      <w:numFmt w:val="bullet"/>
      <w:lvlText w:val="•"/>
      <w:lvlJc w:val="left"/>
      <w:pPr>
        <w:tabs>
          <w:tab w:val="num" w:pos="2880"/>
        </w:tabs>
        <w:ind w:left="2880" w:hanging="360"/>
      </w:pPr>
      <w:rPr>
        <w:rFonts w:ascii="Arial" w:hAnsi="Arial" w:hint="default"/>
      </w:rPr>
    </w:lvl>
    <w:lvl w:ilvl="4" w:tplc="231C34DC" w:tentative="1">
      <w:start w:val="1"/>
      <w:numFmt w:val="bullet"/>
      <w:lvlText w:val="•"/>
      <w:lvlJc w:val="left"/>
      <w:pPr>
        <w:tabs>
          <w:tab w:val="num" w:pos="3600"/>
        </w:tabs>
        <w:ind w:left="3600" w:hanging="360"/>
      </w:pPr>
      <w:rPr>
        <w:rFonts w:ascii="Arial" w:hAnsi="Arial" w:hint="default"/>
      </w:rPr>
    </w:lvl>
    <w:lvl w:ilvl="5" w:tplc="2A0C62F0" w:tentative="1">
      <w:start w:val="1"/>
      <w:numFmt w:val="bullet"/>
      <w:lvlText w:val="•"/>
      <w:lvlJc w:val="left"/>
      <w:pPr>
        <w:tabs>
          <w:tab w:val="num" w:pos="4320"/>
        </w:tabs>
        <w:ind w:left="4320" w:hanging="360"/>
      </w:pPr>
      <w:rPr>
        <w:rFonts w:ascii="Arial" w:hAnsi="Arial" w:hint="default"/>
      </w:rPr>
    </w:lvl>
    <w:lvl w:ilvl="6" w:tplc="3020C9B2" w:tentative="1">
      <w:start w:val="1"/>
      <w:numFmt w:val="bullet"/>
      <w:lvlText w:val="•"/>
      <w:lvlJc w:val="left"/>
      <w:pPr>
        <w:tabs>
          <w:tab w:val="num" w:pos="5040"/>
        </w:tabs>
        <w:ind w:left="5040" w:hanging="360"/>
      </w:pPr>
      <w:rPr>
        <w:rFonts w:ascii="Arial" w:hAnsi="Arial" w:hint="default"/>
      </w:rPr>
    </w:lvl>
    <w:lvl w:ilvl="7" w:tplc="3E48BCAC" w:tentative="1">
      <w:start w:val="1"/>
      <w:numFmt w:val="bullet"/>
      <w:lvlText w:val="•"/>
      <w:lvlJc w:val="left"/>
      <w:pPr>
        <w:tabs>
          <w:tab w:val="num" w:pos="5760"/>
        </w:tabs>
        <w:ind w:left="5760" w:hanging="360"/>
      </w:pPr>
      <w:rPr>
        <w:rFonts w:ascii="Arial" w:hAnsi="Arial" w:hint="default"/>
      </w:rPr>
    </w:lvl>
    <w:lvl w:ilvl="8" w:tplc="9C54AC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20490C"/>
    <w:multiLevelType w:val="hybridMultilevel"/>
    <w:tmpl w:val="505A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228DF"/>
    <w:multiLevelType w:val="hybridMultilevel"/>
    <w:tmpl w:val="5A749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EB3FEA"/>
    <w:multiLevelType w:val="hybridMultilevel"/>
    <w:tmpl w:val="76E0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D7B01"/>
    <w:multiLevelType w:val="hybridMultilevel"/>
    <w:tmpl w:val="4FA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416C3"/>
    <w:multiLevelType w:val="hybridMultilevel"/>
    <w:tmpl w:val="2C785F16"/>
    <w:lvl w:ilvl="0" w:tplc="F1084306">
      <w:start w:val="1"/>
      <w:numFmt w:val="bullet"/>
      <w:pStyle w:val="ListBullet"/>
      <w:lvlText w:val=""/>
      <w:lvlJc w:val="left"/>
      <w:pPr>
        <w:tabs>
          <w:tab w:val="num" w:pos="499"/>
        </w:tabs>
        <w:ind w:left="499" w:hanging="216"/>
      </w:pPr>
      <w:rPr>
        <w:rFonts w:ascii="Wingdings" w:hAnsi="Wingdings" w:hint="default"/>
        <w:color w:val="3494BA" w:themeColor="accent1"/>
        <w:sz w:val="20"/>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15:restartNumberingAfterBreak="0">
    <w:nsid w:val="4CEA0299"/>
    <w:multiLevelType w:val="hybridMultilevel"/>
    <w:tmpl w:val="053AC1BA"/>
    <w:lvl w:ilvl="0" w:tplc="E3328D1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765033"/>
    <w:multiLevelType w:val="hybridMultilevel"/>
    <w:tmpl w:val="FB7C8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767F4"/>
    <w:multiLevelType w:val="hybridMultilevel"/>
    <w:tmpl w:val="AC16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727C9"/>
    <w:multiLevelType w:val="hybridMultilevel"/>
    <w:tmpl w:val="1FA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875A3"/>
    <w:multiLevelType w:val="multilevel"/>
    <w:tmpl w:val="59C0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30F3C"/>
    <w:multiLevelType w:val="multilevel"/>
    <w:tmpl w:val="451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0D76C1"/>
    <w:multiLevelType w:val="hybridMultilevel"/>
    <w:tmpl w:val="1BFE646E"/>
    <w:lvl w:ilvl="0" w:tplc="8E7A6AA4">
      <w:start w:val="1"/>
      <w:numFmt w:val="bullet"/>
      <w:lvlText w:val="•"/>
      <w:lvlJc w:val="left"/>
      <w:pPr>
        <w:tabs>
          <w:tab w:val="num" w:pos="720"/>
        </w:tabs>
        <w:ind w:left="720" w:hanging="360"/>
      </w:pPr>
      <w:rPr>
        <w:rFonts w:ascii="Arial" w:hAnsi="Arial" w:hint="default"/>
      </w:rPr>
    </w:lvl>
    <w:lvl w:ilvl="1" w:tplc="368E75DA">
      <w:numFmt w:val="bullet"/>
      <w:lvlText w:val="–"/>
      <w:lvlJc w:val="left"/>
      <w:pPr>
        <w:ind w:left="1440" w:hanging="360"/>
      </w:pPr>
      <w:rPr>
        <w:rFonts w:ascii="Tahoma" w:eastAsiaTheme="minorHAnsi" w:hAnsi="Tahoma" w:cs="Tahoma" w:hint="default"/>
      </w:rPr>
    </w:lvl>
    <w:lvl w:ilvl="2" w:tplc="AF3E7CFA" w:tentative="1">
      <w:start w:val="1"/>
      <w:numFmt w:val="bullet"/>
      <w:lvlText w:val="•"/>
      <w:lvlJc w:val="left"/>
      <w:pPr>
        <w:tabs>
          <w:tab w:val="num" w:pos="2160"/>
        </w:tabs>
        <w:ind w:left="2160" w:hanging="360"/>
      </w:pPr>
      <w:rPr>
        <w:rFonts w:ascii="Arial" w:hAnsi="Arial" w:hint="default"/>
      </w:rPr>
    </w:lvl>
    <w:lvl w:ilvl="3" w:tplc="13F028E4" w:tentative="1">
      <w:start w:val="1"/>
      <w:numFmt w:val="bullet"/>
      <w:lvlText w:val="•"/>
      <w:lvlJc w:val="left"/>
      <w:pPr>
        <w:tabs>
          <w:tab w:val="num" w:pos="2880"/>
        </w:tabs>
        <w:ind w:left="2880" w:hanging="360"/>
      </w:pPr>
      <w:rPr>
        <w:rFonts w:ascii="Arial" w:hAnsi="Arial" w:hint="default"/>
      </w:rPr>
    </w:lvl>
    <w:lvl w:ilvl="4" w:tplc="1D047E42" w:tentative="1">
      <w:start w:val="1"/>
      <w:numFmt w:val="bullet"/>
      <w:lvlText w:val="•"/>
      <w:lvlJc w:val="left"/>
      <w:pPr>
        <w:tabs>
          <w:tab w:val="num" w:pos="3600"/>
        </w:tabs>
        <w:ind w:left="3600" w:hanging="360"/>
      </w:pPr>
      <w:rPr>
        <w:rFonts w:ascii="Arial" w:hAnsi="Arial" w:hint="default"/>
      </w:rPr>
    </w:lvl>
    <w:lvl w:ilvl="5" w:tplc="1428C840" w:tentative="1">
      <w:start w:val="1"/>
      <w:numFmt w:val="bullet"/>
      <w:lvlText w:val="•"/>
      <w:lvlJc w:val="left"/>
      <w:pPr>
        <w:tabs>
          <w:tab w:val="num" w:pos="4320"/>
        </w:tabs>
        <w:ind w:left="4320" w:hanging="360"/>
      </w:pPr>
      <w:rPr>
        <w:rFonts w:ascii="Arial" w:hAnsi="Arial" w:hint="default"/>
      </w:rPr>
    </w:lvl>
    <w:lvl w:ilvl="6" w:tplc="D2545BE4" w:tentative="1">
      <w:start w:val="1"/>
      <w:numFmt w:val="bullet"/>
      <w:lvlText w:val="•"/>
      <w:lvlJc w:val="left"/>
      <w:pPr>
        <w:tabs>
          <w:tab w:val="num" w:pos="5040"/>
        </w:tabs>
        <w:ind w:left="5040" w:hanging="360"/>
      </w:pPr>
      <w:rPr>
        <w:rFonts w:ascii="Arial" w:hAnsi="Arial" w:hint="default"/>
      </w:rPr>
    </w:lvl>
    <w:lvl w:ilvl="7" w:tplc="9EAA5BC0" w:tentative="1">
      <w:start w:val="1"/>
      <w:numFmt w:val="bullet"/>
      <w:lvlText w:val="•"/>
      <w:lvlJc w:val="left"/>
      <w:pPr>
        <w:tabs>
          <w:tab w:val="num" w:pos="5760"/>
        </w:tabs>
        <w:ind w:left="5760" w:hanging="360"/>
      </w:pPr>
      <w:rPr>
        <w:rFonts w:ascii="Arial" w:hAnsi="Arial" w:hint="default"/>
      </w:rPr>
    </w:lvl>
    <w:lvl w:ilvl="8" w:tplc="321A6A0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5"/>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8"/>
  </w:num>
  <w:num w:numId="15">
    <w:abstractNumId w:val="12"/>
  </w:num>
  <w:num w:numId="16">
    <w:abstractNumId w:val="19"/>
  </w:num>
  <w:num w:numId="17">
    <w:abstractNumId w:val="32"/>
  </w:num>
  <w:num w:numId="18">
    <w:abstractNumId w:val="17"/>
  </w:num>
  <w:num w:numId="19">
    <w:abstractNumId w:val="27"/>
  </w:num>
  <w:num w:numId="20">
    <w:abstractNumId w:val="13"/>
  </w:num>
  <w:num w:numId="21">
    <w:abstractNumId w:val="31"/>
  </w:num>
  <w:num w:numId="22">
    <w:abstractNumId w:val="15"/>
  </w:num>
  <w:num w:numId="23">
    <w:abstractNumId w:val="10"/>
  </w:num>
  <w:num w:numId="24">
    <w:abstractNumId w:val="18"/>
  </w:num>
  <w:num w:numId="25">
    <w:abstractNumId w:val="26"/>
  </w:num>
  <w:num w:numId="26">
    <w:abstractNumId w:val="21"/>
  </w:num>
  <w:num w:numId="27">
    <w:abstractNumId w:val="20"/>
  </w:num>
  <w:num w:numId="28">
    <w:abstractNumId w:val="30"/>
  </w:num>
  <w:num w:numId="29">
    <w:abstractNumId w:val="22"/>
  </w:num>
  <w:num w:numId="30">
    <w:abstractNumId w:val="24"/>
  </w:num>
  <w:num w:numId="31">
    <w:abstractNumId w:val="14"/>
  </w:num>
  <w:num w:numId="32">
    <w:abstractNumId w:val="23"/>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A6"/>
    <w:rsid w:val="00004A45"/>
    <w:rsid w:val="000101AB"/>
    <w:rsid w:val="00012F83"/>
    <w:rsid w:val="00020A0E"/>
    <w:rsid w:val="00022775"/>
    <w:rsid w:val="000240B2"/>
    <w:rsid w:val="00032390"/>
    <w:rsid w:val="00053672"/>
    <w:rsid w:val="00056DF9"/>
    <w:rsid w:val="000864F7"/>
    <w:rsid w:val="0009536E"/>
    <w:rsid w:val="000B5F90"/>
    <w:rsid w:val="000B6BD0"/>
    <w:rsid w:val="000D7871"/>
    <w:rsid w:val="00130BBB"/>
    <w:rsid w:val="0015172E"/>
    <w:rsid w:val="00172856"/>
    <w:rsid w:val="00172C30"/>
    <w:rsid w:val="0019044D"/>
    <w:rsid w:val="001A1A0A"/>
    <w:rsid w:val="001A2919"/>
    <w:rsid w:val="001A7086"/>
    <w:rsid w:val="001C22B3"/>
    <w:rsid w:val="001C4D71"/>
    <w:rsid w:val="001D3646"/>
    <w:rsid w:val="001E7112"/>
    <w:rsid w:val="001F2D33"/>
    <w:rsid w:val="001F3D15"/>
    <w:rsid w:val="00205D06"/>
    <w:rsid w:val="002458B1"/>
    <w:rsid w:val="00254448"/>
    <w:rsid w:val="002C06FA"/>
    <w:rsid w:val="002D365E"/>
    <w:rsid w:val="002F4D6D"/>
    <w:rsid w:val="002F6B02"/>
    <w:rsid w:val="002F73E3"/>
    <w:rsid w:val="00300116"/>
    <w:rsid w:val="0031155A"/>
    <w:rsid w:val="00316004"/>
    <w:rsid w:val="00340BE5"/>
    <w:rsid w:val="003412B5"/>
    <w:rsid w:val="00350056"/>
    <w:rsid w:val="0036102F"/>
    <w:rsid w:val="0038742E"/>
    <w:rsid w:val="003A762C"/>
    <w:rsid w:val="003B73B0"/>
    <w:rsid w:val="0040533B"/>
    <w:rsid w:val="00440AFF"/>
    <w:rsid w:val="00490B53"/>
    <w:rsid w:val="00492B27"/>
    <w:rsid w:val="00497D92"/>
    <w:rsid w:val="004A4EA6"/>
    <w:rsid w:val="004B0BEA"/>
    <w:rsid w:val="004C4196"/>
    <w:rsid w:val="004D2A05"/>
    <w:rsid w:val="004D37DF"/>
    <w:rsid w:val="004F0C39"/>
    <w:rsid w:val="004F1D53"/>
    <w:rsid w:val="00501347"/>
    <w:rsid w:val="00516DAF"/>
    <w:rsid w:val="005231A0"/>
    <w:rsid w:val="0055003C"/>
    <w:rsid w:val="00560B3F"/>
    <w:rsid w:val="00576773"/>
    <w:rsid w:val="00594860"/>
    <w:rsid w:val="00597D53"/>
    <w:rsid w:val="005C1711"/>
    <w:rsid w:val="00601E46"/>
    <w:rsid w:val="0060210D"/>
    <w:rsid w:val="00624315"/>
    <w:rsid w:val="00633BDA"/>
    <w:rsid w:val="00640AE3"/>
    <w:rsid w:val="00665344"/>
    <w:rsid w:val="006C3C9F"/>
    <w:rsid w:val="006E061B"/>
    <w:rsid w:val="006E57AA"/>
    <w:rsid w:val="006F27BB"/>
    <w:rsid w:val="006F4BBB"/>
    <w:rsid w:val="006F602D"/>
    <w:rsid w:val="00704A44"/>
    <w:rsid w:val="00740E99"/>
    <w:rsid w:val="00751129"/>
    <w:rsid w:val="007A4009"/>
    <w:rsid w:val="007A7FAE"/>
    <w:rsid w:val="007D2CCE"/>
    <w:rsid w:val="007D7FDB"/>
    <w:rsid w:val="007F5C63"/>
    <w:rsid w:val="0080663E"/>
    <w:rsid w:val="008200A3"/>
    <w:rsid w:val="00831005"/>
    <w:rsid w:val="00847AED"/>
    <w:rsid w:val="008520FC"/>
    <w:rsid w:val="00860F5A"/>
    <w:rsid w:val="008768DC"/>
    <w:rsid w:val="008A451F"/>
    <w:rsid w:val="008A47E6"/>
    <w:rsid w:val="008A4809"/>
    <w:rsid w:val="008A5AA2"/>
    <w:rsid w:val="008D00DD"/>
    <w:rsid w:val="008D5049"/>
    <w:rsid w:val="008E34DA"/>
    <w:rsid w:val="008E65B9"/>
    <w:rsid w:val="008F18A1"/>
    <w:rsid w:val="008F32ED"/>
    <w:rsid w:val="008F76FF"/>
    <w:rsid w:val="0090127B"/>
    <w:rsid w:val="00925619"/>
    <w:rsid w:val="009271DE"/>
    <w:rsid w:val="0096561E"/>
    <w:rsid w:val="00973D36"/>
    <w:rsid w:val="00976389"/>
    <w:rsid w:val="00993521"/>
    <w:rsid w:val="009A172E"/>
    <w:rsid w:val="009E31AB"/>
    <w:rsid w:val="009F2A69"/>
    <w:rsid w:val="00A065AC"/>
    <w:rsid w:val="00A10AA4"/>
    <w:rsid w:val="00A31778"/>
    <w:rsid w:val="00A40A1C"/>
    <w:rsid w:val="00A41A49"/>
    <w:rsid w:val="00A51D77"/>
    <w:rsid w:val="00A55A0F"/>
    <w:rsid w:val="00A6318D"/>
    <w:rsid w:val="00A71E76"/>
    <w:rsid w:val="00AA4647"/>
    <w:rsid w:val="00AA5141"/>
    <w:rsid w:val="00AB0D3A"/>
    <w:rsid w:val="00AD780B"/>
    <w:rsid w:val="00AD7876"/>
    <w:rsid w:val="00AE04E6"/>
    <w:rsid w:val="00AE0DCB"/>
    <w:rsid w:val="00AE1C2F"/>
    <w:rsid w:val="00B13D42"/>
    <w:rsid w:val="00B2587F"/>
    <w:rsid w:val="00B6083A"/>
    <w:rsid w:val="00B67F7A"/>
    <w:rsid w:val="00B759D7"/>
    <w:rsid w:val="00B855EE"/>
    <w:rsid w:val="00B869D9"/>
    <w:rsid w:val="00BB7226"/>
    <w:rsid w:val="00BF3BFC"/>
    <w:rsid w:val="00C20207"/>
    <w:rsid w:val="00C300F5"/>
    <w:rsid w:val="00C47E4B"/>
    <w:rsid w:val="00C51BA4"/>
    <w:rsid w:val="00C56EED"/>
    <w:rsid w:val="00C91C8D"/>
    <w:rsid w:val="00CA4EED"/>
    <w:rsid w:val="00CC58D0"/>
    <w:rsid w:val="00CC64F9"/>
    <w:rsid w:val="00CE10A6"/>
    <w:rsid w:val="00CE69D8"/>
    <w:rsid w:val="00CF19CD"/>
    <w:rsid w:val="00D11555"/>
    <w:rsid w:val="00D20AD7"/>
    <w:rsid w:val="00D30B76"/>
    <w:rsid w:val="00D41F6A"/>
    <w:rsid w:val="00D5033E"/>
    <w:rsid w:val="00D704BA"/>
    <w:rsid w:val="00D824A7"/>
    <w:rsid w:val="00DA164F"/>
    <w:rsid w:val="00DA4E31"/>
    <w:rsid w:val="00DC62C4"/>
    <w:rsid w:val="00DC6FF1"/>
    <w:rsid w:val="00DE3BBC"/>
    <w:rsid w:val="00E04A42"/>
    <w:rsid w:val="00E1371D"/>
    <w:rsid w:val="00E17DB8"/>
    <w:rsid w:val="00E2215D"/>
    <w:rsid w:val="00E31375"/>
    <w:rsid w:val="00E37863"/>
    <w:rsid w:val="00E40F68"/>
    <w:rsid w:val="00E41729"/>
    <w:rsid w:val="00E66F38"/>
    <w:rsid w:val="00E82136"/>
    <w:rsid w:val="00E93EE7"/>
    <w:rsid w:val="00E97DE0"/>
    <w:rsid w:val="00EB6A6E"/>
    <w:rsid w:val="00EC2B44"/>
    <w:rsid w:val="00ED277C"/>
    <w:rsid w:val="00EE0E4A"/>
    <w:rsid w:val="00EF328F"/>
    <w:rsid w:val="00EF52A1"/>
    <w:rsid w:val="00F10643"/>
    <w:rsid w:val="00F20265"/>
    <w:rsid w:val="00F22BE3"/>
    <w:rsid w:val="00F33A92"/>
    <w:rsid w:val="00F53C0B"/>
    <w:rsid w:val="00F53CB7"/>
    <w:rsid w:val="00F55157"/>
    <w:rsid w:val="00F926F6"/>
    <w:rsid w:val="00FA0ACD"/>
    <w:rsid w:val="00FA68D8"/>
    <w:rsid w:val="00FB660A"/>
    <w:rsid w:val="00FC5309"/>
    <w:rsid w:val="00FD47A5"/>
    <w:rsid w:val="00FE461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7D41"/>
  <w15:chartTrackingRefBased/>
  <w15:docId w15:val="{ED1F9F06-D532-E141-B27F-1B89706C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ED"/>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37354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7354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37354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37354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37354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37354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37354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37354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373545" w:themeColor="text2"/>
      <w:sz w:val="24"/>
      <w:szCs w:val="32"/>
    </w:rPr>
  </w:style>
  <w:style w:type="paragraph" w:customStyle="1" w:styleId="ContactInformation">
    <w:name w:val="Contact Information"/>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37354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7354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37354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37354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37354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37354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373545" w:themeColor="text2"/>
      <w:sz w:val="24"/>
    </w:rPr>
  </w:style>
  <w:style w:type="character" w:customStyle="1" w:styleId="FooterChar">
    <w:name w:val="Footer Char"/>
    <w:basedOn w:val="DefaultParagraphFont"/>
    <w:link w:val="Footer"/>
    <w:uiPriority w:val="99"/>
    <w:rPr>
      <w:color w:val="37354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3494BA"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3494BA"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37354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7354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7354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373545" w:themeColor="text2"/>
      <w:sz w:val="24"/>
    </w:rPr>
  </w:style>
  <w:style w:type="character" w:customStyle="1" w:styleId="DateChar">
    <w:name w:val="Date Char"/>
    <w:basedOn w:val="DefaultParagraphFont"/>
    <w:link w:val="Date"/>
    <w:uiPriority w:val="99"/>
    <w:semiHidden/>
    <w:rPr>
      <w:color w:val="37354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373545" w:themeColor="text2"/>
      <w:sz w:val="24"/>
    </w:rPr>
  </w:style>
  <w:style w:type="character" w:customStyle="1" w:styleId="SalutationChar">
    <w:name w:val="Salutation Char"/>
    <w:basedOn w:val="DefaultParagraphFont"/>
    <w:link w:val="Salutation"/>
    <w:uiPriority w:val="99"/>
    <w:semiHidden/>
    <w:rPr>
      <w:color w:val="37354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373545" w:themeColor="text2"/>
    </w:rPr>
  </w:style>
  <w:style w:type="character" w:customStyle="1" w:styleId="SignatureChar">
    <w:name w:val="Signature Char"/>
    <w:basedOn w:val="DefaultParagraphFont"/>
    <w:link w:val="Signature"/>
    <w:uiPriority w:val="99"/>
    <w:semiHidden/>
    <w:rPr>
      <w:color w:val="373545" w:themeColor="text2"/>
    </w:rPr>
  </w:style>
  <w:style w:type="paragraph" w:styleId="NormalWeb">
    <w:name w:val="Normal (Web)"/>
    <w:basedOn w:val="Normal"/>
    <w:uiPriority w:val="99"/>
    <w:unhideWhenUsed/>
    <w:rsid w:val="008A451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F53C0B"/>
    <w:rPr>
      <w:color w:val="6B9F25" w:themeColor="hyperlink"/>
      <w:u w:val="single"/>
    </w:rPr>
  </w:style>
  <w:style w:type="character" w:styleId="UnresolvedMention">
    <w:name w:val="Unresolved Mention"/>
    <w:basedOn w:val="DefaultParagraphFont"/>
    <w:uiPriority w:val="99"/>
    <w:semiHidden/>
    <w:unhideWhenUsed/>
    <w:rsid w:val="00F53C0B"/>
    <w:rPr>
      <w:color w:val="605E5C"/>
      <w:shd w:val="clear" w:color="auto" w:fill="E1DFDD"/>
    </w:rPr>
  </w:style>
  <w:style w:type="paragraph" w:styleId="BalloonText">
    <w:name w:val="Balloon Text"/>
    <w:basedOn w:val="Normal"/>
    <w:link w:val="BalloonTextChar"/>
    <w:uiPriority w:val="99"/>
    <w:semiHidden/>
    <w:unhideWhenUsed/>
    <w:rsid w:val="008066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6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729"/>
    <w:rPr>
      <w:sz w:val="16"/>
      <w:szCs w:val="16"/>
    </w:rPr>
  </w:style>
  <w:style w:type="paragraph" w:styleId="CommentText">
    <w:name w:val="annotation text"/>
    <w:basedOn w:val="Normal"/>
    <w:link w:val="CommentTextChar"/>
    <w:uiPriority w:val="99"/>
    <w:semiHidden/>
    <w:unhideWhenUsed/>
    <w:rsid w:val="00E41729"/>
    <w:pPr>
      <w:spacing w:line="240" w:lineRule="auto"/>
    </w:pPr>
  </w:style>
  <w:style w:type="character" w:customStyle="1" w:styleId="CommentTextChar">
    <w:name w:val="Comment Text Char"/>
    <w:basedOn w:val="DefaultParagraphFont"/>
    <w:link w:val="CommentText"/>
    <w:uiPriority w:val="99"/>
    <w:semiHidden/>
    <w:rsid w:val="00E41729"/>
  </w:style>
  <w:style w:type="paragraph" w:styleId="CommentSubject">
    <w:name w:val="annotation subject"/>
    <w:basedOn w:val="CommentText"/>
    <w:next w:val="CommentText"/>
    <w:link w:val="CommentSubjectChar"/>
    <w:uiPriority w:val="99"/>
    <w:semiHidden/>
    <w:unhideWhenUsed/>
    <w:rsid w:val="00E41729"/>
    <w:rPr>
      <w:b/>
      <w:bCs/>
    </w:rPr>
  </w:style>
  <w:style w:type="character" w:customStyle="1" w:styleId="CommentSubjectChar">
    <w:name w:val="Comment Subject Char"/>
    <w:basedOn w:val="CommentTextChar"/>
    <w:link w:val="CommentSubject"/>
    <w:uiPriority w:val="99"/>
    <w:semiHidden/>
    <w:rsid w:val="00E41729"/>
    <w:rPr>
      <w:b/>
      <w:bCs/>
    </w:rPr>
  </w:style>
  <w:style w:type="paragraph" w:styleId="Revision">
    <w:name w:val="Revision"/>
    <w:hidden/>
    <w:uiPriority w:val="99"/>
    <w:semiHidden/>
    <w:rsid w:val="001C22B3"/>
    <w:pPr>
      <w:spacing w:after="0" w:line="240" w:lineRule="auto"/>
    </w:pPr>
  </w:style>
  <w:style w:type="character" w:styleId="FollowedHyperlink">
    <w:name w:val="FollowedHyperlink"/>
    <w:basedOn w:val="DefaultParagraphFont"/>
    <w:uiPriority w:val="99"/>
    <w:semiHidden/>
    <w:unhideWhenUsed/>
    <w:rsid w:val="001C22B3"/>
    <w:rPr>
      <w:color w:val="9F6715" w:themeColor="followedHyperlink"/>
      <w:u w:val="single"/>
    </w:rPr>
  </w:style>
  <w:style w:type="character" w:customStyle="1" w:styleId="apple-converted-space">
    <w:name w:val="apple-converted-space"/>
    <w:basedOn w:val="DefaultParagraphFont"/>
    <w:rsid w:val="00E8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122">
      <w:bodyDiv w:val="1"/>
      <w:marLeft w:val="0"/>
      <w:marRight w:val="0"/>
      <w:marTop w:val="0"/>
      <w:marBottom w:val="0"/>
      <w:divBdr>
        <w:top w:val="none" w:sz="0" w:space="0" w:color="auto"/>
        <w:left w:val="none" w:sz="0" w:space="0" w:color="auto"/>
        <w:bottom w:val="none" w:sz="0" w:space="0" w:color="auto"/>
        <w:right w:val="none" w:sz="0" w:space="0" w:color="auto"/>
      </w:divBdr>
    </w:div>
    <w:div w:id="478426816">
      <w:bodyDiv w:val="1"/>
      <w:marLeft w:val="0"/>
      <w:marRight w:val="0"/>
      <w:marTop w:val="0"/>
      <w:marBottom w:val="0"/>
      <w:divBdr>
        <w:top w:val="none" w:sz="0" w:space="0" w:color="auto"/>
        <w:left w:val="none" w:sz="0" w:space="0" w:color="auto"/>
        <w:bottom w:val="none" w:sz="0" w:space="0" w:color="auto"/>
        <w:right w:val="none" w:sz="0" w:space="0" w:color="auto"/>
      </w:divBdr>
      <w:divsChild>
        <w:div w:id="1796633569">
          <w:marLeft w:val="547"/>
          <w:marRight w:val="0"/>
          <w:marTop w:val="115"/>
          <w:marBottom w:val="0"/>
          <w:divBdr>
            <w:top w:val="none" w:sz="0" w:space="0" w:color="auto"/>
            <w:left w:val="none" w:sz="0" w:space="0" w:color="auto"/>
            <w:bottom w:val="none" w:sz="0" w:space="0" w:color="auto"/>
            <w:right w:val="none" w:sz="0" w:space="0" w:color="auto"/>
          </w:divBdr>
        </w:div>
      </w:divsChild>
    </w:div>
    <w:div w:id="513569654">
      <w:bodyDiv w:val="1"/>
      <w:marLeft w:val="0"/>
      <w:marRight w:val="0"/>
      <w:marTop w:val="0"/>
      <w:marBottom w:val="0"/>
      <w:divBdr>
        <w:top w:val="none" w:sz="0" w:space="0" w:color="auto"/>
        <w:left w:val="none" w:sz="0" w:space="0" w:color="auto"/>
        <w:bottom w:val="none" w:sz="0" w:space="0" w:color="auto"/>
        <w:right w:val="none" w:sz="0" w:space="0" w:color="auto"/>
      </w:divBdr>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393">
      <w:bodyDiv w:val="1"/>
      <w:marLeft w:val="0"/>
      <w:marRight w:val="0"/>
      <w:marTop w:val="0"/>
      <w:marBottom w:val="0"/>
      <w:divBdr>
        <w:top w:val="none" w:sz="0" w:space="0" w:color="auto"/>
        <w:left w:val="none" w:sz="0" w:space="0" w:color="auto"/>
        <w:bottom w:val="none" w:sz="0" w:space="0" w:color="auto"/>
        <w:right w:val="none" w:sz="0" w:space="0" w:color="auto"/>
      </w:divBdr>
    </w:div>
    <w:div w:id="726532816">
      <w:bodyDiv w:val="1"/>
      <w:marLeft w:val="0"/>
      <w:marRight w:val="0"/>
      <w:marTop w:val="0"/>
      <w:marBottom w:val="0"/>
      <w:divBdr>
        <w:top w:val="none" w:sz="0" w:space="0" w:color="auto"/>
        <w:left w:val="none" w:sz="0" w:space="0" w:color="auto"/>
        <w:bottom w:val="none" w:sz="0" w:space="0" w:color="auto"/>
        <w:right w:val="none" w:sz="0" w:space="0" w:color="auto"/>
      </w:divBdr>
    </w:div>
    <w:div w:id="918246386">
      <w:bodyDiv w:val="1"/>
      <w:marLeft w:val="0"/>
      <w:marRight w:val="0"/>
      <w:marTop w:val="0"/>
      <w:marBottom w:val="0"/>
      <w:divBdr>
        <w:top w:val="none" w:sz="0" w:space="0" w:color="auto"/>
        <w:left w:val="none" w:sz="0" w:space="0" w:color="auto"/>
        <w:bottom w:val="none" w:sz="0" w:space="0" w:color="auto"/>
        <w:right w:val="none" w:sz="0" w:space="0" w:color="auto"/>
      </w:divBdr>
    </w:div>
    <w:div w:id="1019502727">
      <w:bodyDiv w:val="1"/>
      <w:marLeft w:val="0"/>
      <w:marRight w:val="0"/>
      <w:marTop w:val="0"/>
      <w:marBottom w:val="0"/>
      <w:divBdr>
        <w:top w:val="none" w:sz="0" w:space="0" w:color="auto"/>
        <w:left w:val="none" w:sz="0" w:space="0" w:color="auto"/>
        <w:bottom w:val="none" w:sz="0" w:space="0" w:color="auto"/>
        <w:right w:val="none" w:sz="0" w:space="0" w:color="auto"/>
      </w:divBdr>
      <w:divsChild>
        <w:div w:id="660472464">
          <w:marLeft w:val="360"/>
          <w:marRight w:val="0"/>
          <w:marTop w:val="200"/>
          <w:marBottom w:val="0"/>
          <w:divBdr>
            <w:top w:val="none" w:sz="0" w:space="0" w:color="auto"/>
            <w:left w:val="none" w:sz="0" w:space="0" w:color="auto"/>
            <w:bottom w:val="none" w:sz="0" w:space="0" w:color="auto"/>
            <w:right w:val="none" w:sz="0" w:space="0" w:color="auto"/>
          </w:divBdr>
        </w:div>
        <w:div w:id="1799763130">
          <w:marLeft w:val="360"/>
          <w:marRight w:val="0"/>
          <w:marTop w:val="200"/>
          <w:marBottom w:val="0"/>
          <w:divBdr>
            <w:top w:val="none" w:sz="0" w:space="0" w:color="auto"/>
            <w:left w:val="none" w:sz="0" w:space="0" w:color="auto"/>
            <w:bottom w:val="none" w:sz="0" w:space="0" w:color="auto"/>
            <w:right w:val="none" w:sz="0" w:space="0" w:color="auto"/>
          </w:divBdr>
        </w:div>
        <w:div w:id="1613171570">
          <w:marLeft w:val="360"/>
          <w:marRight w:val="0"/>
          <w:marTop w:val="200"/>
          <w:marBottom w:val="0"/>
          <w:divBdr>
            <w:top w:val="none" w:sz="0" w:space="0" w:color="auto"/>
            <w:left w:val="none" w:sz="0" w:space="0" w:color="auto"/>
            <w:bottom w:val="none" w:sz="0" w:space="0" w:color="auto"/>
            <w:right w:val="none" w:sz="0" w:space="0" w:color="auto"/>
          </w:divBdr>
        </w:div>
        <w:div w:id="1987784385">
          <w:marLeft w:val="360"/>
          <w:marRight w:val="0"/>
          <w:marTop w:val="200"/>
          <w:marBottom w:val="0"/>
          <w:divBdr>
            <w:top w:val="none" w:sz="0" w:space="0" w:color="auto"/>
            <w:left w:val="none" w:sz="0" w:space="0" w:color="auto"/>
            <w:bottom w:val="none" w:sz="0" w:space="0" w:color="auto"/>
            <w:right w:val="none" w:sz="0" w:space="0" w:color="auto"/>
          </w:divBdr>
        </w:div>
      </w:divsChild>
    </w:div>
    <w:div w:id="1060592978">
      <w:bodyDiv w:val="1"/>
      <w:marLeft w:val="0"/>
      <w:marRight w:val="0"/>
      <w:marTop w:val="0"/>
      <w:marBottom w:val="0"/>
      <w:divBdr>
        <w:top w:val="none" w:sz="0" w:space="0" w:color="auto"/>
        <w:left w:val="none" w:sz="0" w:space="0" w:color="auto"/>
        <w:bottom w:val="none" w:sz="0" w:space="0" w:color="auto"/>
        <w:right w:val="none" w:sz="0" w:space="0" w:color="auto"/>
      </w:divBdr>
    </w:div>
    <w:div w:id="1260720747">
      <w:bodyDiv w:val="1"/>
      <w:marLeft w:val="0"/>
      <w:marRight w:val="0"/>
      <w:marTop w:val="0"/>
      <w:marBottom w:val="0"/>
      <w:divBdr>
        <w:top w:val="none" w:sz="0" w:space="0" w:color="auto"/>
        <w:left w:val="none" w:sz="0" w:space="0" w:color="auto"/>
        <w:bottom w:val="none" w:sz="0" w:space="0" w:color="auto"/>
        <w:right w:val="none" w:sz="0" w:space="0" w:color="auto"/>
      </w:divBdr>
    </w:div>
    <w:div w:id="1272124638">
      <w:bodyDiv w:val="1"/>
      <w:marLeft w:val="0"/>
      <w:marRight w:val="0"/>
      <w:marTop w:val="0"/>
      <w:marBottom w:val="0"/>
      <w:divBdr>
        <w:top w:val="none" w:sz="0" w:space="0" w:color="auto"/>
        <w:left w:val="none" w:sz="0" w:space="0" w:color="auto"/>
        <w:bottom w:val="none" w:sz="0" w:space="0" w:color="auto"/>
        <w:right w:val="none" w:sz="0" w:space="0" w:color="auto"/>
      </w:divBdr>
      <w:divsChild>
        <w:div w:id="39595910">
          <w:marLeft w:val="0"/>
          <w:marRight w:val="0"/>
          <w:marTop w:val="0"/>
          <w:marBottom w:val="0"/>
          <w:divBdr>
            <w:top w:val="none" w:sz="0" w:space="0" w:color="auto"/>
            <w:left w:val="none" w:sz="0" w:space="0" w:color="auto"/>
            <w:bottom w:val="none" w:sz="0" w:space="0" w:color="auto"/>
            <w:right w:val="none" w:sz="0" w:space="0" w:color="auto"/>
          </w:divBdr>
          <w:divsChild>
            <w:div w:id="444037288">
              <w:marLeft w:val="0"/>
              <w:marRight w:val="0"/>
              <w:marTop w:val="0"/>
              <w:marBottom w:val="0"/>
              <w:divBdr>
                <w:top w:val="none" w:sz="0" w:space="0" w:color="auto"/>
                <w:left w:val="none" w:sz="0" w:space="0" w:color="auto"/>
                <w:bottom w:val="none" w:sz="0" w:space="0" w:color="auto"/>
                <w:right w:val="none" w:sz="0" w:space="0" w:color="auto"/>
              </w:divBdr>
              <w:divsChild>
                <w:div w:id="2974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6773">
      <w:bodyDiv w:val="1"/>
      <w:marLeft w:val="0"/>
      <w:marRight w:val="0"/>
      <w:marTop w:val="0"/>
      <w:marBottom w:val="0"/>
      <w:divBdr>
        <w:top w:val="none" w:sz="0" w:space="0" w:color="auto"/>
        <w:left w:val="none" w:sz="0" w:space="0" w:color="auto"/>
        <w:bottom w:val="none" w:sz="0" w:space="0" w:color="auto"/>
        <w:right w:val="none" w:sz="0" w:space="0" w:color="auto"/>
      </w:divBdr>
    </w:div>
    <w:div w:id="21095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training-exams/mrcgp-exam/mrcgp-recorded-consultation-assessment/mandatory-case-selection-criteria-for-recorded-consultation-assessment.aspx" TargetMode="External"/><Relationship Id="rId13" Type="http://schemas.openxmlformats.org/officeDocument/2006/relationships/hyperlink" Target="https://www.rcgp.org.uk/-/media/Files/GP-training-and-exams/CSA-page/CSA-RCA/rcgp-rca-feedback-statements-october-2020.ashx?la=en" TargetMode="External"/><Relationship Id="rId18" Type="http://schemas.openxmlformats.org/officeDocument/2006/relationships/hyperlink" Target="https://www.rcgp.org.uk/training-exams/mrcgp-exam/mrcgp-recorded-consultation-assessment/mandatory-case-selection-criteria-for-recorded-consultation-assessment.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cgp.org.uk/training-exams/mrcgp-exam-overview/-/media/F0C813F4063D4496A5231FD723938AB8.ashx" TargetMode="External"/><Relationship Id="rId7" Type="http://schemas.openxmlformats.org/officeDocument/2006/relationships/endnotes" Target="endnotes.xml"/><Relationship Id="rId12" Type="http://schemas.openxmlformats.org/officeDocument/2006/relationships/hyperlink" Target="https://www.fourteenfish.com/about/rca" TargetMode="External"/><Relationship Id="rId17" Type="http://schemas.openxmlformats.org/officeDocument/2006/relationships/hyperlink" Target="https://www.rcgp.org.uk/-/media/Files/GP-training-and-exams/CSA-page/CSA-RCA/FAQs-Recorded-Consultation-Assessment.ashx?la=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cgp.org.uk/-/media/Files/GP-training-and-exams/CSA-page/CSA-RCA/MRCGP-examination-RCA-policy-2020.ashx?la=en" TargetMode="External"/><Relationship Id="rId20" Type="http://schemas.openxmlformats.org/officeDocument/2006/relationships/hyperlink" Target="https://www.rcgp.org.uk/training-exams/mrcgp-exam-overview/~/link.aspx?_id=4E38BE49593B4D778BCDEBEB5284A8AF&amp;_z=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gp.org.uk/training-exams/mrcgp-exam-overview/~/link.aspx?_id=4E38BE49593B4D778BCDEBEB5284A8AF&amp;_z=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support.fourteenfish.com/hc/en-gb/categories/360001624977-Recorded-Consultations-RCA-" TargetMode="External"/><Relationship Id="rId28" Type="http://schemas.openxmlformats.org/officeDocument/2006/relationships/glossaryDocument" Target="glossary/document.xml"/><Relationship Id="rId10" Type="http://schemas.openxmlformats.org/officeDocument/2006/relationships/hyperlink" Target="https://www.rcgp.org.uk/training-exams/mrcgp-exam-overview/-/media/F0C813F4063D4496A5231FD723938AB8.ashx" TargetMode="External"/><Relationship Id="rId19" Type="http://schemas.openxmlformats.org/officeDocument/2006/relationships/hyperlink" Target="https://www.rcgp.org.uk/training-exams/mrcgp-exam-overview/~/link.aspx?_id=3BFFA3D8C4A34F75BE4E4210775F20D2&amp;_z=z" TargetMode="External"/><Relationship Id="rId4" Type="http://schemas.openxmlformats.org/officeDocument/2006/relationships/settings" Target="settings.xml"/><Relationship Id="rId9" Type="http://schemas.openxmlformats.org/officeDocument/2006/relationships/hyperlink" Target="https://support.fourteenfish.com/hc/en-gb/categories/360001624977-Recorded-Consultations-RCA-" TargetMode="External"/><Relationship Id="rId14" Type="http://schemas.openxmlformats.org/officeDocument/2006/relationships/image" Target="media/image1.png"/><Relationship Id="rId22" Type="http://schemas.openxmlformats.org/officeDocument/2006/relationships/hyperlink" Target="https://www.rcgp.org.uk/training-exams/mrcgp-exam-overview/~/link.aspx?_id=CD82245BF97F43E29865AB7E065A24A3&amp;_z=z"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48CE08D467A4468B07C0F8ECDA7A10"/>
        <w:category>
          <w:name w:val="General"/>
          <w:gallery w:val="placeholder"/>
        </w:category>
        <w:types>
          <w:type w:val="bbPlcHdr"/>
        </w:types>
        <w:behaviors>
          <w:behavior w:val="content"/>
        </w:behaviors>
        <w:guid w:val="{2E065B98-AA50-7A42-A3F4-ADB80090CEDA}"/>
      </w:docPartPr>
      <w:docPartBody>
        <w:p w:rsidR="001B2429" w:rsidRDefault="004E076D">
          <w:pPr>
            <w:pStyle w:val="7848CE08D467A4468B07C0F8ECDA7A10"/>
          </w:pPr>
          <w:r>
            <w:rPr>
              <w:lang w:bidi="en-GB"/>
            </w:rP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ahoma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6D"/>
    <w:rsid w:val="00122698"/>
    <w:rsid w:val="001B2429"/>
    <w:rsid w:val="002461A6"/>
    <w:rsid w:val="002C05C8"/>
    <w:rsid w:val="004E076D"/>
    <w:rsid w:val="005B7EB2"/>
    <w:rsid w:val="00647FF8"/>
    <w:rsid w:val="00696AAF"/>
    <w:rsid w:val="006E1964"/>
    <w:rsid w:val="009066C7"/>
    <w:rsid w:val="00967925"/>
    <w:rsid w:val="00A130BA"/>
    <w:rsid w:val="00B66897"/>
    <w:rsid w:val="00B81ABC"/>
    <w:rsid w:val="00B84C4B"/>
    <w:rsid w:val="00C6539C"/>
    <w:rsid w:val="00D3503B"/>
    <w:rsid w:val="00DD401D"/>
    <w:rsid w:val="00E0131B"/>
    <w:rsid w:val="00EA2BEB"/>
    <w:rsid w:val="00FF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8CE08D467A4468B07C0F8ECDA7A10">
    <w:name w:val="7848CE08D467A4468B07C0F8ECDA7A10"/>
  </w:style>
  <w:style w:type="paragraph" w:styleId="ListBullet">
    <w:name w:val="List Bullet"/>
    <w:basedOn w:val="Normal"/>
    <w:uiPriority w:val="9"/>
    <w:qFormat/>
    <w:pPr>
      <w:numPr>
        <w:numId w:val="1"/>
      </w:numPr>
      <w:spacing w:after="120" w:line="312" w:lineRule="auto"/>
    </w:pPr>
    <w:rPr>
      <w:rFonts w:eastAsiaTheme="minorHAnsi"/>
      <w:color w:val="7F7F7F" w:themeColor="text1" w:themeTint="80"/>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6722-D4D3-434A-A9AD-F7629220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2474</Words>
  <Characters>14104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Morgan</dc:creator>
  <cp:keywords/>
  <dc:description/>
  <cp:lastModifiedBy>Helen Dykstra</cp:lastModifiedBy>
  <cp:revision>2</cp:revision>
  <dcterms:created xsi:type="dcterms:W3CDTF">2022-01-28T13:58:00Z</dcterms:created>
  <dcterms:modified xsi:type="dcterms:W3CDTF">2022-01-28T13:58:00Z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