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2113" w14:textId="54693EB1" w:rsidR="00F926F6" w:rsidRDefault="00CE10A6" w:rsidP="001D3646">
      <w:pPr>
        <w:pStyle w:val="Name"/>
      </w:pPr>
      <w:r>
        <w:t xml:space="preserve">Recorded Consultation Assessment (RCA) </w:t>
      </w:r>
    </w:p>
    <w:sdt>
      <w:sdtPr>
        <w:id w:val="-1179423465"/>
        <w:placeholder>
          <w:docPart w:val="7848CE08D467A4468B07C0F8ECDA7A10"/>
        </w:placeholder>
        <w:temporary/>
        <w:showingPlcHdr/>
        <w15:appearance w15:val="hidden"/>
      </w:sdtPr>
      <w:sdtEndPr/>
      <w:sdtContent>
        <w:p w14:paraId="056488CE" w14:textId="77777777" w:rsidR="00F926F6" w:rsidRDefault="001D3646">
          <w:pPr>
            <w:pStyle w:val="Heading1"/>
          </w:pPr>
          <w:r>
            <w:rPr>
              <w:lang w:val="en-GB" w:bidi="en-GB"/>
            </w:rPr>
            <w:t>Objective</w:t>
          </w:r>
        </w:p>
      </w:sdtContent>
    </w:sdt>
    <w:p w14:paraId="7CE0FC55" w14:textId="2A9FED97" w:rsidR="00F926F6" w:rsidRDefault="006C3C9F">
      <w:r>
        <w:t xml:space="preserve">A guide for </w:t>
      </w:r>
      <w:r w:rsidR="00D41F6A">
        <w:t>traine</w:t>
      </w:r>
      <w:r w:rsidR="009A32D8">
        <w:t>es</w:t>
      </w:r>
    </w:p>
    <w:p w14:paraId="5E3D3D3E" w14:textId="77777777" w:rsidR="00F926F6" w:rsidRDefault="00CE10A6">
      <w:pPr>
        <w:pStyle w:val="Heading1"/>
      </w:pPr>
      <w:r>
        <w:t xml:space="preserve">THE </w:t>
      </w:r>
      <w:r w:rsidR="00AB0D3A">
        <w:t xml:space="preserve">RCA </w:t>
      </w:r>
      <w:r>
        <w:t>Assessment</w:t>
      </w:r>
    </w:p>
    <w:p w14:paraId="775DC8BB" w14:textId="4AA05AFD" w:rsidR="007C4AF4" w:rsidRDefault="007C4AF4" w:rsidP="007C4AF4">
      <w:pPr>
        <w:jc w:val="center"/>
      </w:pPr>
      <w:r>
        <w:t>The Recorded Consultation Assessment (RCA) might seem like a daunting (and expensive!) prospect but preparing well, listening to the right advice, aiming high and above all maintaining a positive approach will ensure your success.</w:t>
      </w:r>
    </w:p>
    <w:p w14:paraId="3E3B3A0C" w14:textId="77777777" w:rsidR="007C4AF4" w:rsidRDefault="007C4AF4" w:rsidP="007C4AF4">
      <w:pPr>
        <w:jc w:val="center"/>
      </w:pPr>
    </w:p>
    <w:p w14:paraId="7D5E05C8" w14:textId="63EAB554" w:rsidR="007C4AF4" w:rsidRDefault="007C4AF4" w:rsidP="007C4AF4">
      <w:pPr>
        <w:jc w:val="center"/>
      </w:pPr>
      <w:r>
        <w:rPr>
          <w:noProof/>
        </w:rPr>
        <w:drawing>
          <wp:inline distT="0" distB="0" distL="0" distR="0" wp14:anchorId="2C78C232" wp14:editId="2FBEC976">
            <wp:extent cx="914400" cy="914400"/>
            <wp:effectExtent l="0" t="0" r="0" b="0"/>
            <wp:docPr id="13" name="Graphic 13"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6gWdP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87" cy="914487"/>
                    </a:xfrm>
                    <a:prstGeom prst="rect">
                      <a:avLst/>
                    </a:prstGeom>
                  </pic:spPr>
                </pic:pic>
              </a:graphicData>
            </a:graphic>
          </wp:inline>
        </w:drawing>
      </w:r>
    </w:p>
    <w:p w14:paraId="10C74688" w14:textId="749C3664" w:rsidR="00AD7121" w:rsidRDefault="00AD7121" w:rsidP="00D268F3">
      <w:pPr>
        <w:jc w:val="center"/>
      </w:pPr>
      <w:r>
        <w:t xml:space="preserve">A General Practitioner encounters countless </w:t>
      </w:r>
      <w:proofErr w:type="gramStart"/>
      <w:r>
        <w:t>presentations</w:t>
      </w:r>
      <w:proofErr w:type="gramEnd"/>
      <w:r>
        <w:t xml:space="preserve"> and you will see your supervisors expertly navigate their way through a range of medical, psychological, social and practical issues, whilst ensuring a tailored, </w:t>
      </w:r>
      <w:proofErr w:type="spellStart"/>
      <w:r>
        <w:t>individualised</w:t>
      </w:r>
      <w:proofErr w:type="spellEnd"/>
      <w:r>
        <w:t xml:space="preserve"> consultation to meet the needs of each patient.  </w:t>
      </w:r>
    </w:p>
    <w:p w14:paraId="27DFA060" w14:textId="49185B11" w:rsidR="00C20B8B" w:rsidRDefault="00C20B8B" w:rsidP="00D268F3">
      <w:pPr>
        <w:jc w:val="center"/>
      </w:pPr>
    </w:p>
    <w:p w14:paraId="466A6CFF" w14:textId="7139F60D" w:rsidR="00C20B8B" w:rsidRDefault="00C20B8B" w:rsidP="00D268F3">
      <w:pPr>
        <w:jc w:val="center"/>
      </w:pPr>
      <w:r>
        <w:t>The RCA is a component of the MRCGP that gives evidence that you are ready to be an independent General Practitioner.</w:t>
      </w:r>
    </w:p>
    <w:p w14:paraId="65FE165F" w14:textId="77777777" w:rsidR="00AD7121" w:rsidRDefault="00AD7121" w:rsidP="00D268F3">
      <w:pPr>
        <w:jc w:val="center"/>
      </w:pPr>
    </w:p>
    <w:p w14:paraId="12FA586F" w14:textId="77777777" w:rsidR="00AD7121" w:rsidRDefault="00AD7121" w:rsidP="00D268F3">
      <w:pPr>
        <w:jc w:val="center"/>
      </w:pPr>
    </w:p>
    <w:p w14:paraId="302F4C33" w14:textId="77777777" w:rsidR="00AD7121" w:rsidRDefault="00AD7121" w:rsidP="00D268F3">
      <w:pPr>
        <w:jc w:val="center"/>
      </w:pPr>
    </w:p>
    <w:p w14:paraId="481CB704" w14:textId="291F488F" w:rsidR="00D268F3" w:rsidRPr="007B763B" w:rsidRDefault="00D268F3" w:rsidP="00D268F3">
      <w:pPr>
        <w:jc w:val="center"/>
      </w:pPr>
      <w:r w:rsidRPr="007B763B">
        <w:t xml:space="preserve">Knowledge of the requirements of the exam will help you to understand how you can </w:t>
      </w:r>
      <w:proofErr w:type="spellStart"/>
      <w:r w:rsidRPr="007B763B">
        <w:rPr>
          <w:rStyle w:val="QuoteChar"/>
          <w:sz w:val="20"/>
        </w:rPr>
        <w:t>maximise</w:t>
      </w:r>
      <w:proofErr w:type="spellEnd"/>
      <w:r w:rsidRPr="007B763B">
        <w:rPr>
          <w:rStyle w:val="QuoteChar"/>
          <w:sz w:val="20"/>
        </w:rPr>
        <w:t xml:space="preserve"> day-to-day learning opportunities</w:t>
      </w:r>
      <w:r w:rsidRPr="007B763B">
        <w:t xml:space="preserve">, as you will quickly </w:t>
      </w:r>
      <w:proofErr w:type="spellStart"/>
      <w:r w:rsidRPr="007B763B">
        <w:t>realise</w:t>
      </w:r>
      <w:proofErr w:type="spellEnd"/>
      <w:r w:rsidRPr="007B763B">
        <w:t xml:space="preserve"> that </w:t>
      </w:r>
      <w:r w:rsidRPr="007B763B">
        <w:rPr>
          <w:rStyle w:val="IntenseQuoteChar"/>
          <w:sz w:val="20"/>
        </w:rPr>
        <w:t>every patient interaction you experience, is the best preparatory material</w:t>
      </w:r>
      <w:r w:rsidRPr="007B763B">
        <w:t>.</w:t>
      </w:r>
    </w:p>
    <w:p w14:paraId="10A5F3C4" w14:textId="77777777" w:rsidR="00D268F3" w:rsidRDefault="00D268F3" w:rsidP="00D268F3"/>
    <w:p w14:paraId="6DEED0BC" w14:textId="77777777" w:rsidR="007C4AF4" w:rsidRDefault="007C4AF4"/>
    <w:p w14:paraId="18798CBF" w14:textId="79B9BA91" w:rsidR="00FE0CF7" w:rsidRDefault="00FE0CF7" w:rsidP="00FE0CF7">
      <w:pPr>
        <w:pStyle w:val="Heading1"/>
      </w:pPr>
      <w:r>
        <w:lastRenderedPageBreak/>
        <w:t>understand the exam structure and requirements early</w:t>
      </w:r>
    </w:p>
    <w:p w14:paraId="650A73B1" w14:textId="77777777" w:rsidR="007C4AF4" w:rsidRDefault="007C4AF4"/>
    <w:p w14:paraId="0C29337C" w14:textId="77777777" w:rsidR="00A907FE" w:rsidRDefault="00A907FE" w:rsidP="00A907FE">
      <w:r>
        <w:rPr>
          <w:noProof/>
        </w:rPr>
        <w:drawing>
          <wp:inline distT="0" distB="0" distL="0" distR="0" wp14:anchorId="23A8C4BC" wp14:editId="3AD372CF">
            <wp:extent cx="5486400" cy="3200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E4926BF" w14:textId="776042BA" w:rsidR="00A907FE" w:rsidRDefault="00A907FE"/>
    <w:p w14:paraId="09A4E350" w14:textId="74E76492" w:rsidR="00A907FE" w:rsidRDefault="007B763B">
      <w:r>
        <w:t>The RCA is a</w:t>
      </w:r>
      <w:r w:rsidR="007C4AF4">
        <w:t xml:space="preserve"> summative assessment of a doctor’s ability to integrate and apply clinical, professional, communication and practical skills</w:t>
      </w:r>
      <w:r w:rsidR="009F2F6C">
        <w:t>:</w:t>
      </w:r>
    </w:p>
    <w:p w14:paraId="731FF481" w14:textId="77777777" w:rsidR="00053672" w:rsidRDefault="00CE10A6" w:rsidP="00053672">
      <w:pPr>
        <w:pStyle w:val="ListParagraph"/>
        <w:numPr>
          <w:ilvl w:val="0"/>
          <w:numId w:val="15"/>
        </w:numPr>
      </w:pPr>
      <w:r>
        <w:t xml:space="preserve">13 recorded consultations submitted onto Fourteen Fish.  Can be all telephone, all </w:t>
      </w:r>
      <w:proofErr w:type="gramStart"/>
      <w:r>
        <w:t>video</w:t>
      </w:r>
      <w:proofErr w:type="gramEnd"/>
      <w:r>
        <w:t xml:space="preserve"> or all face-to-face consultations – most likely a combination.  Allows for trainees working from home</w:t>
      </w:r>
    </w:p>
    <w:p w14:paraId="2BF3FADE" w14:textId="77777777" w:rsidR="00053672" w:rsidRDefault="00CE10A6" w:rsidP="00053672">
      <w:pPr>
        <w:pStyle w:val="ListParagraph"/>
        <w:ind w:left="720"/>
      </w:pPr>
      <w:r>
        <w:t xml:space="preserve"> </w:t>
      </w:r>
    </w:p>
    <w:p w14:paraId="49EBCFD2" w14:textId="75E91891" w:rsidR="00594860" w:rsidRDefault="00CE10A6" w:rsidP="00594860">
      <w:pPr>
        <w:pStyle w:val="ListParagraph"/>
        <w:numPr>
          <w:ilvl w:val="0"/>
          <w:numId w:val="14"/>
        </w:numPr>
        <w:spacing w:after="120"/>
      </w:pPr>
      <w:r>
        <w:t xml:space="preserve">Recording cannot be edited – continuous </w:t>
      </w:r>
      <w:proofErr w:type="gramStart"/>
      <w:r>
        <w:t>1</w:t>
      </w:r>
      <w:r w:rsidR="001276AF">
        <w:t>2</w:t>
      </w:r>
      <w:r>
        <w:t xml:space="preserve"> minute</w:t>
      </w:r>
      <w:proofErr w:type="gramEnd"/>
      <w:r>
        <w:t xml:space="preserve"> recording, excludes time for consent.</w:t>
      </w:r>
      <w:r w:rsidR="00053672">
        <w:t xml:space="preserve">  Cannot rely on previous videos (GDPR &amp; previous usage for COT assessments).  Each video marked by at least one examiner independently</w:t>
      </w:r>
    </w:p>
    <w:p w14:paraId="0DA94F4E" w14:textId="77777777" w:rsidR="006C3C9F" w:rsidRDefault="006C3C9F" w:rsidP="009271DE">
      <w:pPr>
        <w:spacing w:after="120"/>
        <w:ind w:left="360"/>
      </w:pPr>
    </w:p>
    <w:p w14:paraId="76907577" w14:textId="0A607BCC" w:rsidR="00CE10A6" w:rsidRDefault="00CE10A6" w:rsidP="00053672">
      <w:pPr>
        <w:pStyle w:val="ListParagraph"/>
        <w:numPr>
          <w:ilvl w:val="0"/>
          <w:numId w:val="14"/>
        </w:numPr>
      </w:pPr>
      <w:r>
        <w:t>Assessed in 3 domains (Data Gathering, Clinical Management and Interpersonal Skills) as Clear Pass, Pass, Fail or Clear Fail</w:t>
      </w:r>
    </w:p>
    <w:p w14:paraId="1EF74FB1" w14:textId="77777777" w:rsidR="008A451F" w:rsidRDefault="008A451F" w:rsidP="008A451F">
      <w:pPr>
        <w:pStyle w:val="ListParagraph"/>
        <w:ind w:left="720"/>
      </w:pPr>
    </w:p>
    <w:p w14:paraId="6E9A6AB6" w14:textId="77777777" w:rsidR="006C3C9F" w:rsidRDefault="006C3C9F" w:rsidP="009271DE">
      <w:pPr>
        <w:pStyle w:val="ListParagraph"/>
      </w:pPr>
    </w:p>
    <w:p w14:paraId="31067FFA" w14:textId="0CBF1B35" w:rsidR="006C3C9F" w:rsidRDefault="001276AF" w:rsidP="001276AF">
      <w:pPr>
        <w:pStyle w:val="ListParagraph"/>
        <w:numPr>
          <w:ilvl w:val="0"/>
          <w:numId w:val="14"/>
        </w:numPr>
      </w:pPr>
      <w:r>
        <w:t>There are</w:t>
      </w:r>
      <w:r w:rsidR="006C3C9F">
        <w:t xml:space="preserve"> mandatory </w:t>
      </w:r>
      <w:r>
        <w:t xml:space="preserve">criteria to include in your submission including </w:t>
      </w:r>
      <w:r w:rsidR="006C3C9F">
        <w:t>cases from across the GP curriculum that include: a child, an elderly person, a mental health problem and specific clinical problems</w:t>
      </w:r>
      <w:r w:rsidR="008E34DA">
        <w:t xml:space="preserve">.  See RCGP website: </w:t>
      </w:r>
      <w:hyperlink r:id="rId15" w:history="1">
        <w:r w:rsidRPr="001276AF">
          <w:rPr>
            <w:rStyle w:val="Hyperlink"/>
          </w:rPr>
          <w:t>RCA mandatory cases</w:t>
        </w:r>
      </w:hyperlink>
    </w:p>
    <w:p w14:paraId="1A838A10" w14:textId="77777777" w:rsidR="001276AF" w:rsidRDefault="001276AF" w:rsidP="001276AF">
      <w:pPr>
        <w:pStyle w:val="ListParagraph"/>
        <w:ind w:left="720"/>
      </w:pPr>
    </w:p>
    <w:p w14:paraId="23EA02BD" w14:textId="70B7BD72" w:rsidR="00F53C0B" w:rsidRPr="000B6D62" w:rsidRDefault="006C3C9F" w:rsidP="007A3D63">
      <w:pPr>
        <w:pStyle w:val="ListParagraph"/>
        <w:numPr>
          <w:ilvl w:val="0"/>
          <w:numId w:val="14"/>
        </w:numPr>
      </w:pPr>
      <w:r w:rsidRPr="00266AC9">
        <w:t>Keep up to date with the RCGP RCA website as new guidance continues to emerge</w:t>
      </w:r>
      <w:r w:rsidRPr="00AC4E94">
        <w:t xml:space="preserve"> </w:t>
      </w:r>
    </w:p>
    <w:p w14:paraId="08292151" w14:textId="77777777" w:rsidR="00F926F6" w:rsidRDefault="00053672">
      <w:pPr>
        <w:pStyle w:val="Heading1"/>
      </w:pPr>
      <w:r>
        <w:lastRenderedPageBreak/>
        <w:t>The recording</w:t>
      </w:r>
    </w:p>
    <w:p w14:paraId="2CEFCF8F" w14:textId="74C8C3FC" w:rsidR="00053672" w:rsidRDefault="00DA0CAF" w:rsidP="00053672">
      <w:pPr>
        <w:pStyle w:val="ListParagraph"/>
        <w:numPr>
          <w:ilvl w:val="0"/>
          <w:numId w:val="16"/>
        </w:numPr>
      </w:pPr>
      <w:r>
        <w:t xml:space="preserve">Doctor </w:t>
      </w:r>
      <w:r w:rsidR="00053672">
        <w:t xml:space="preserve">and patient clearly visible </w:t>
      </w:r>
      <w:r w:rsidR="008A451F">
        <w:t xml:space="preserve">where appropriate </w:t>
      </w:r>
      <w:r w:rsidR="00053672">
        <w:t>with good sound quality</w:t>
      </w:r>
    </w:p>
    <w:p w14:paraId="06FA5E18" w14:textId="77777777" w:rsidR="00AB0D3A" w:rsidRDefault="00AB0D3A" w:rsidP="00AB0D3A">
      <w:pPr>
        <w:pStyle w:val="ListParagraph"/>
        <w:ind w:left="720"/>
      </w:pPr>
    </w:p>
    <w:p w14:paraId="082DEEDC" w14:textId="0A151168" w:rsidR="008768DC" w:rsidRPr="009F2F6C" w:rsidRDefault="00B13D42" w:rsidP="008437DD">
      <w:pPr>
        <w:pStyle w:val="ListParagraph"/>
        <w:numPr>
          <w:ilvl w:val="0"/>
          <w:numId w:val="20"/>
        </w:numPr>
        <w:rPr>
          <w:rStyle w:val="Hyperlink"/>
          <w:b/>
          <w:bCs/>
          <w:color w:val="7F7F7F" w:themeColor="text1" w:themeTint="80"/>
          <w:u w:val="none"/>
        </w:rPr>
      </w:pPr>
      <w:r>
        <w:t xml:space="preserve">Cases are submitted to the Fourteen Fish Platform and there is a lot of guidance on how to do this on their help pages </w:t>
      </w:r>
      <w:hyperlink r:id="rId16" w:history="1">
        <w:r w:rsidRPr="00D20AD7">
          <w:rPr>
            <w:rStyle w:val="Hyperlink"/>
            <w:rFonts w:cs="Tahoma (Body CS)"/>
            <w:b/>
            <w:bCs/>
            <w:color w:val="C00000"/>
          </w:rPr>
          <w:t>Fourteen Fish Guidance on Recordings</w:t>
        </w:r>
      </w:hyperlink>
    </w:p>
    <w:p w14:paraId="6549750E" w14:textId="77777777" w:rsidR="009F2F6C" w:rsidRPr="009F2F6C" w:rsidRDefault="009F2F6C" w:rsidP="009F2F6C">
      <w:pPr>
        <w:ind w:left="360"/>
        <w:rPr>
          <w:b/>
          <w:bCs/>
        </w:rPr>
      </w:pPr>
    </w:p>
    <w:p w14:paraId="3F01B756" w14:textId="26140334" w:rsidR="008768DC" w:rsidRDefault="008768DC" w:rsidP="008768DC">
      <w:pPr>
        <w:pStyle w:val="ListParagraph"/>
        <w:numPr>
          <w:ilvl w:val="0"/>
          <w:numId w:val="20"/>
        </w:numPr>
      </w:pPr>
      <w:r>
        <w:t xml:space="preserve">If </w:t>
      </w:r>
      <w:r w:rsidR="00F91ECF">
        <w:t>you</w:t>
      </w:r>
      <w:r>
        <w:t xml:space="preserve"> record on platforms other than Fourteen </w:t>
      </w:r>
      <w:proofErr w:type="gramStart"/>
      <w:r>
        <w:t>Fish</w:t>
      </w:r>
      <w:proofErr w:type="gramEnd"/>
      <w:r>
        <w:t xml:space="preserve"> </w:t>
      </w:r>
      <w:r w:rsidR="00F91ECF">
        <w:t>you</w:t>
      </w:r>
      <w:r>
        <w:t xml:space="preserve"> will need to upload </w:t>
      </w:r>
      <w:r w:rsidR="00F91ECF">
        <w:t xml:space="preserve">your </w:t>
      </w:r>
      <w:r>
        <w:t xml:space="preserve">submission to the Fourteen Fish website.  </w:t>
      </w:r>
      <w:r w:rsidR="00F91ECF">
        <w:t>Handle</w:t>
      </w:r>
      <w:r>
        <w:t xml:space="preserve"> recordings in accordance with GDPR regulations and </w:t>
      </w:r>
      <w:r w:rsidR="00F91ECF">
        <w:t xml:space="preserve">take </w:t>
      </w:r>
      <w:r>
        <w:t xml:space="preserve">care </w:t>
      </w:r>
      <w:r w:rsidR="00F91ECF">
        <w:t>to maintain this with any</w:t>
      </w:r>
      <w:r>
        <w:t xml:space="preserve"> data transfer</w:t>
      </w:r>
      <w:r w:rsidR="002F73E3">
        <w:t xml:space="preserve"> during an</w:t>
      </w:r>
      <w:r w:rsidR="00F91ECF">
        <w:t xml:space="preserve"> </w:t>
      </w:r>
      <w:r w:rsidR="002F73E3">
        <w:t>upload process</w:t>
      </w:r>
    </w:p>
    <w:p w14:paraId="48E7830B" w14:textId="77777777" w:rsidR="000E19F1" w:rsidRDefault="000E19F1" w:rsidP="000E19F1">
      <w:pPr>
        <w:pStyle w:val="ListParagraph"/>
      </w:pPr>
    </w:p>
    <w:p w14:paraId="68CBA5D9" w14:textId="59B86824" w:rsidR="000E19F1" w:rsidRDefault="000E19F1" w:rsidP="008768DC">
      <w:pPr>
        <w:pStyle w:val="ListParagraph"/>
        <w:numPr>
          <w:ilvl w:val="0"/>
          <w:numId w:val="20"/>
        </w:numPr>
      </w:pPr>
      <w:r>
        <w:t xml:space="preserve">You can download the </w:t>
      </w:r>
      <w:r w:rsidRPr="00266AC9">
        <w:rPr>
          <w:b/>
          <w:bCs/>
        </w:rPr>
        <w:t>Fourteen Fish Consult App</w:t>
      </w:r>
      <w:r>
        <w:t xml:space="preserve"> from the App </w:t>
      </w:r>
      <w:proofErr w:type="gramStart"/>
      <w:r>
        <w:t>store</w:t>
      </w:r>
      <w:proofErr w:type="gramEnd"/>
      <w:r>
        <w:t xml:space="preserve"> and this will allow you to record </w:t>
      </w:r>
      <w:r w:rsidR="004852CC">
        <w:t>without the need of credits</w:t>
      </w:r>
    </w:p>
    <w:p w14:paraId="4CF278D0" w14:textId="77777777" w:rsidR="001F3D15" w:rsidRDefault="001F3D15" w:rsidP="001F3D15">
      <w:pPr>
        <w:pStyle w:val="ListParagraph"/>
      </w:pPr>
    </w:p>
    <w:p w14:paraId="0351F6B8" w14:textId="6DF026B3" w:rsidR="005E4C7F" w:rsidRDefault="001F3D15" w:rsidP="008437DD">
      <w:pPr>
        <w:pStyle w:val="ListParagraph"/>
        <w:numPr>
          <w:ilvl w:val="0"/>
          <w:numId w:val="20"/>
        </w:numPr>
      </w:pPr>
      <w:r>
        <w:t xml:space="preserve">Supervisors will need to </w:t>
      </w:r>
      <w:r w:rsidRPr="00D537E2">
        <w:rPr>
          <w:b/>
          <w:bCs/>
        </w:rPr>
        <w:t>authenticate the recordings for final submission</w:t>
      </w:r>
      <w:r>
        <w:t xml:space="preserve"> by verifying that the recording is between </w:t>
      </w:r>
      <w:r w:rsidR="00F91ECF">
        <w:t>you</w:t>
      </w:r>
      <w:r>
        <w:t xml:space="preserve"> and a patient on </w:t>
      </w:r>
      <w:r w:rsidR="009F2F6C">
        <w:t xml:space="preserve">the </w:t>
      </w:r>
      <w:r>
        <w:t>Fourteen Fish</w:t>
      </w:r>
      <w:r w:rsidR="009F2F6C">
        <w:t xml:space="preserve"> platform</w:t>
      </w:r>
    </w:p>
    <w:p w14:paraId="13AD8848" w14:textId="77777777" w:rsidR="005E4C7F" w:rsidRDefault="005E4C7F" w:rsidP="005E4C7F">
      <w:pPr>
        <w:pStyle w:val="ListParagraph"/>
        <w:ind w:left="720"/>
      </w:pPr>
    </w:p>
    <w:p w14:paraId="1DEB4DA3" w14:textId="5184953E" w:rsidR="00AA4647" w:rsidRDefault="00F91ECF" w:rsidP="00254F25">
      <w:pPr>
        <w:pStyle w:val="ListParagraph"/>
        <w:numPr>
          <w:ilvl w:val="0"/>
          <w:numId w:val="20"/>
        </w:numPr>
      </w:pPr>
      <w:r>
        <w:t xml:space="preserve">You </w:t>
      </w:r>
      <w:r w:rsidR="00AA5141">
        <w:t xml:space="preserve">can share </w:t>
      </w:r>
      <w:r>
        <w:t xml:space="preserve">your </w:t>
      </w:r>
      <w:r w:rsidR="00AA5141">
        <w:t xml:space="preserve">Fourteen Fish videos with </w:t>
      </w:r>
      <w:r>
        <w:t xml:space="preserve">your supervisor who </w:t>
      </w:r>
      <w:r w:rsidR="00AA5141">
        <w:t>will be able to annotate th</w:t>
      </w:r>
      <w:r>
        <w:t>e</w:t>
      </w:r>
      <w:r w:rsidR="00AA5141">
        <w:t>s</w:t>
      </w:r>
      <w:r>
        <w:t>e</w:t>
      </w:r>
      <w:r w:rsidR="00AA5141">
        <w:t xml:space="preserve"> with comments if </w:t>
      </w:r>
      <w:r>
        <w:t>they</w:t>
      </w:r>
      <w:r w:rsidR="00AA5141">
        <w:t xml:space="preserve"> wish </w:t>
      </w:r>
    </w:p>
    <w:p w14:paraId="488A2FD9" w14:textId="77777777" w:rsidR="00004A45" w:rsidRDefault="00004A45" w:rsidP="00004A45">
      <w:pPr>
        <w:pStyle w:val="ListParagraph"/>
      </w:pPr>
    </w:p>
    <w:p w14:paraId="1A22EA7B" w14:textId="1D4BB206" w:rsidR="00004A45" w:rsidRDefault="00D26CE9" w:rsidP="00254F25">
      <w:pPr>
        <w:pStyle w:val="ListParagraph"/>
        <w:numPr>
          <w:ilvl w:val="0"/>
          <w:numId w:val="20"/>
        </w:numPr>
      </w:pPr>
      <w:r>
        <w:t xml:space="preserve">Consider </w:t>
      </w:r>
      <w:proofErr w:type="spellStart"/>
      <w:r>
        <w:t>p</w:t>
      </w:r>
      <w:r w:rsidR="0011554E">
        <w:t>rioritising</w:t>
      </w:r>
      <w:proofErr w:type="spellEnd"/>
      <w:r w:rsidR="00F91ECF">
        <w:t xml:space="preserve"> videos for supervisor sharing that you have </w:t>
      </w:r>
      <w:r w:rsidR="00004A45">
        <w:t xml:space="preserve">watched and </w:t>
      </w:r>
      <w:r w:rsidR="00F91ECF">
        <w:t>self</w:t>
      </w:r>
      <w:r w:rsidR="00D537E2">
        <w:t>-</w:t>
      </w:r>
      <w:r w:rsidR="00F91ECF">
        <w:t xml:space="preserve">assessed as your </w:t>
      </w:r>
      <w:r w:rsidR="00F91ECF" w:rsidRPr="00D537E2">
        <w:rPr>
          <w:b/>
          <w:bCs/>
        </w:rPr>
        <w:t>better consultations</w:t>
      </w:r>
      <w:r w:rsidR="00F91ECF">
        <w:t xml:space="preserve"> </w:t>
      </w:r>
      <w:r w:rsidR="00F91ECF" w:rsidRPr="00D537E2">
        <w:rPr>
          <w:i/>
          <w:iCs/>
        </w:rPr>
        <w:t>or</w:t>
      </w:r>
      <w:r w:rsidR="00F91ECF">
        <w:t xml:space="preserve"> those that you </w:t>
      </w:r>
      <w:proofErr w:type="spellStart"/>
      <w:r w:rsidR="00F91ECF">
        <w:t>realise</w:t>
      </w:r>
      <w:proofErr w:type="spellEnd"/>
      <w:r w:rsidR="00F91ECF">
        <w:t xml:space="preserve"> you need guidance on as you are having </w:t>
      </w:r>
      <w:r w:rsidR="00F91ECF" w:rsidRPr="00D537E2">
        <w:rPr>
          <w:b/>
          <w:bCs/>
        </w:rPr>
        <w:t>recurrent problems</w:t>
      </w:r>
      <w:r w:rsidR="00F91ECF">
        <w:t xml:space="preserve"> with certain aspects of the </w:t>
      </w:r>
      <w:r w:rsidR="00004A45">
        <w:t>consultation</w:t>
      </w:r>
    </w:p>
    <w:p w14:paraId="36C3B0C0" w14:textId="77777777" w:rsidR="00004A45" w:rsidRDefault="00004A45" w:rsidP="00004A45">
      <w:pPr>
        <w:pStyle w:val="ListParagraph"/>
      </w:pPr>
    </w:p>
    <w:p w14:paraId="5DD79D49" w14:textId="56329C9E" w:rsidR="00AB0D3A" w:rsidRPr="000864F7" w:rsidRDefault="008A451F" w:rsidP="00004A45">
      <w:pPr>
        <w:pStyle w:val="ListParagraph"/>
        <w:numPr>
          <w:ilvl w:val="0"/>
          <w:numId w:val="20"/>
        </w:numPr>
      </w:pPr>
      <w:r>
        <w:t>All recording</w:t>
      </w:r>
      <w:r w:rsidR="00AC4E94">
        <w:t>s</w:t>
      </w:r>
      <w:r>
        <w:t xml:space="preserve"> needs patient consent (before and after) </w:t>
      </w:r>
      <w:r w:rsidR="00B13D42">
        <w:t xml:space="preserve">– </w:t>
      </w:r>
      <w:r w:rsidR="008C1DD7">
        <w:t>see</w:t>
      </w:r>
      <w:r w:rsidR="00B13D42">
        <w:t xml:space="preserve"> RCA Consent document for guidance</w:t>
      </w:r>
      <w:r w:rsidR="00AA4647">
        <w:t>:</w:t>
      </w:r>
      <w:r w:rsidR="00B13D42">
        <w:t xml:space="preserve"> </w:t>
      </w:r>
      <w:hyperlink r:id="rId17" w:history="1">
        <w:r w:rsidR="00AA4647" w:rsidRPr="00004A45">
          <w:rPr>
            <w:rStyle w:val="Hyperlink"/>
            <w:rFonts w:cs="Tahoma (Body CS)"/>
            <w:b/>
            <w:bCs/>
            <w:color w:val="C00000"/>
          </w:rPr>
          <w:t>Guidance on consent</w:t>
        </w:r>
      </w:hyperlink>
    </w:p>
    <w:p w14:paraId="52E28C7A" w14:textId="77777777" w:rsidR="000864F7" w:rsidRDefault="000864F7" w:rsidP="000864F7">
      <w:pPr>
        <w:pStyle w:val="ListParagraph"/>
      </w:pPr>
    </w:p>
    <w:p w14:paraId="661C0A43" w14:textId="7827B33C" w:rsidR="00F724B5" w:rsidRPr="00F724B5" w:rsidRDefault="00F724B5" w:rsidP="00F724B5">
      <w:pPr>
        <w:ind w:left="360"/>
      </w:pPr>
    </w:p>
    <w:p w14:paraId="7F2F5211" w14:textId="77777777" w:rsidR="00ED277C" w:rsidRPr="00AB0D3A" w:rsidRDefault="00ED277C" w:rsidP="000101AB">
      <w:pPr>
        <w:pStyle w:val="NormalWeb"/>
        <w:rPr>
          <w:rFonts w:asciiTheme="minorHAnsi" w:hAnsiTheme="minorHAnsi" w:cstheme="minorHAnsi"/>
          <w:color w:val="A6A6A6" w:themeColor="background1" w:themeShade="A6"/>
          <w:sz w:val="20"/>
          <w:szCs w:val="20"/>
        </w:rPr>
      </w:pPr>
    </w:p>
    <w:p w14:paraId="6162D83C" w14:textId="433778D0" w:rsidR="00F926F6" w:rsidRDefault="004D37DF">
      <w:pPr>
        <w:pStyle w:val="Heading1"/>
      </w:pPr>
      <w:r>
        <w:t>preparation</w:t>
      </w:r>
    </w:p>
    <w:p w14:paraId="1BFA5E3E" w14:textId="2700FA8C" w:rsidR="006410B2" w:rsidRDefault="006410B2" w:rsidP="00D537E2">
      <w:pPr>
        <w:pStyle w:val="Heading3"/>
        <w:jc w:val="center"/>
      </w:pPr>
      <w:r w:rsidRPr="00E742F7">
        <w:t xml:space="preserve">Now you understand the challenge, you will </w:t>
      </w:r>
      <w:proofErr w:type="spellStart"/>
      <w:r w:rsidRPr="00E742F7">
        <w:t>realise</w:t>
      </w:r>
      <w:proofErr w:type="spellEnd"/>
      <w:r w:rsidRPr="00E742F7">
        <w:t xml:space="preserve"> that you need to </w:t>
      </w:r>
      <w:r>
        <w:t>commence</w:t>
      </w:r>
      <w:r w:rsidRPr="00E742F7">
        <w:t xml:space="preserve"> your </w:t>
      </w:r>
      <w:r>
        <w:t>RCA</w:t>
      </w:r>
      <w:r w:rsidRPr="00E742F7">
        <w:t xml:space="preserve"> preparation as soon as possible</w:t>
      </w:r>
      <w:r>
        <w:t>,</w:t>
      </w:r>
      <w:r w:rsidRPr="00E742F7">
        <w:t xml:space="preserve"> but don’t panic!  </w:t>
      </w:r>
      <w:proofErr w:type="gramStart"/>
      <w:r w:rsidRPr="00E742F7">
        <w:t>The majority of</w:t>
      </w:r>
      <w:proofErr w:type="gramEnd"/>
      <w:r w:rsidRPr="00E742F7">
        <w:t xml:space="preserve"> candidates will pass the </w:t>
      </w:r>
      <w:r>
        <w:t>RCA</w:t>
      </w:r>
      <w:r w:rsidRPr="005E78B2">
        <w:t xml:space="preserve"> on their first attempt and there are plenty of experts and resources to guide your preparatio</w:t>
      </w:r>
      <w:r w:rsidR="00BA5D97">
        <w:t>n</w:t>
      </w:r>
    </w:p>
    <w:p w14:paraId="275BBE4D" w14:textId="77777777" w:rsidR="006410B2" w:rsidRDefault="006410B2" w:rsidP="006410B2">
      <w:pPr>
        <w:pStyle w:val="ListBullet"/>
        <w:numPr>
          <w:ilvl w:val="0"/>
          <w:numId w:val="0"/>
        </w:numPr>
      </w:pPr>
    </w:p>
    <w:p w14:paraId="4C64A019" w14:textId="6B9890D1" w:rsidR="00AB0D3A" w:rsidRDefault="000C62E1" w:rsidP="00D537E2">
      <w:pPr>
        <w:pStyle w:val="ListBullet"/>
      </w:pPr>
      <w:r>
        <w:t>You</w:t>
      </w:r>
      <w:r w:rsidR="00A51D77">
        <w:t xml:space="preserve"> can build up a library of cases on Fourteen Fish </w:t>
      </w:r>
      <w:r>
        <w:t xml:space="preserve">or other recording modality </w:t>
      </w:r>
      <w:r w:rsidR="00A51D77">
        <w:t xml:space="preserve">and </w:t>
      </w:r>
      <w:r w:rsidR="0080663E">
        <w:t>select 13 cases to submit</w:t>
      </w:r>
    </w:p>
    <w:p w14:paraId="09C9BFDA" w14:textId="56F89876" w:rsidR="00AB0D3A" w:rsidRDefault="004D37DF" w:rsidP="00D537E2">
      <w:pPr>
        <w:pStyle w:val="ListBullet"/>
      </w:pPr>
      <w:r>
        <w:lastRenderedPageBreak/>
        <w:t xml:space="preserve">Consider the </w:t>
      </w:r>
      <w:r w:rsidRPr="004F1D53">
        <w:rPr>
          <w:b/>
          <w:bCs/>
        </w:rPr>
        <w:t>types of consultation</w:t>
      </w:r>
      <w:r>
        <w:t xml:space="preserve"> </w:t>
      </w:r>
      <w:r w:rsidR="004C5132">
        <w:t>you</w:t>
      </w:r>
      <w:r>
        <w:t xml:space="preserve"> are doing (video/telephone/face-to-face) and </w:t>
      </w:r>
      <w:r w:rsidR="00594860">
        <w:t xml:space="preserve">any </w:t>
      </w:r>
      <w:r>
        <w:t xml:space="preserve">limitations of consulting method in ensuring </w:t>
      </w:r>
      <w:r w:rsidR="00594860" w:rsidRPr="00266AC9">
        <w:rPr>
          <w:b/>
          <w:bCs/>
        </w:rPr>
        <w:t xml:space="preserve">appropriate </w:t>
      </w:r>
      <w:r w:rsidRPr="00266AC9">
        <w:rPr>
          <w:b/>
          <w:bCs/>
        </w:rPr>
        <w:t>case exposure</w:t>
      </w:r>
      <w:r>
        <w:t xml:space="preserve"> </w:t>
      </w:r>
    </w:p>
    <w:p w14:paraId="5AAC01E3" w14:textId="19FDCE7F" w:rsidR="00AB0D3A" w:rsidRPr="0011554E" w:rsidRDefault="004D37DF" w:rsidP="00D537E2">
      <w:pPr>
        <w:pStyle w:val="ListBullet"/>
        <w:rPr>
          <w:b/>
          <w:bCs/>
        </w:rPr>
      </w:pPr>
      <w:r>
        <w:t>Determine individual ways</w:t>
      </w:r>
      <w:r w:rsidR="00594860">
        <w:t xml:space="preserve"> a</w:t>
      </w:r>
      <w:r>
        <w:t xml:space="preserve">round problems </w:t>
      </w:r>
      <w:proofErr w:type="spellStart"/>
      <w:proofErr w:type="gramStart"/>
      <w:r>
        <w:t>eg</w:t>
      </w:r>
      <w:proofErr w:type="spellEnd"/>
      <w:proofErr w:type="gramEnd"/>
      <w:r>
        <w:t xml:space="preserve"> PPE affecting rapport in a consultation</w:t>
      </w:r>
    </w:p>
    <w:p w14:paraId="72591B30" w14:textId="27FD97DF" w:rsidR="0096561E" w:rsidRDefault="004D37DF" w:rsidP="00D537E2">
      <w:pPr>
        <w:pStyle w:val="ListBullet"/>
      </w:pPr>
      <w:r w:rsidRPr="004F1D53">
        <w:rPr>
          <w:b/>
          <w:bCs/>
        </w:rPr>
        <w:t xml:space="preserve">Consider </w:t>
      </w:r>
      <w:r w:rsidR="00B869D9">
        <w:rPr>
          <w:b/>
          <w:bCs/>
        </w:rPr>
        <w:t xml:space="preserve">mechanism of working within </w:t>
      </w:r>
      <w:r w:rsidR="004C5132">
        <w:rPr>
          <w:b/>
          <w:bCs/>
        </w:rPr>
        <w:t>your</w:t>
      </w:r>
      <w:r w:rsidR="00B869D9">
        <w:rPr>
          <w:b/>
          <w:bCs/>
        </w:rPr>
        <w:t xml:space="preserve"> surgery </w:t>
      </w:r>
      <w:r w:rsidR="00B869D9">
        <w:t xml:space="preserve">such as </w:t>
      </w:r>
      <w:r w:rsidRPr="009271DE">
        <w:t>pre</w:t>
      </w:r>
      <w:r>
        <w:t xml:space="preserve">-triage or electronic navigation prior to </w:t>
      </w:r>
      <w:r w:rsidR="00594860">
        <w:t>a</w:t>
      </w:r>
      <w:r>
        <w:t xml:space="preserve"> consultation - </w:t>
      </w:r>
      <w:proofErr w:type="spellStart"/>
      <w:r>
        <w:t>u</w:t>
      </w:r>
      <w:r w:rsidR="00594860">
        <w:t>tilise</w:t>
      </w:r>
      <w:proofErr w:type="spellEnd"/>
      <w:r w:rsidR="00594860">
        <w:t xml:space="preserve"> </w:t>
      </w:r>
      <w:r w:rsidR="004C5132">
        <w:t>your</w:t>
      </w:r>
      <w:r>
        <w:t xml:space="preserve"> system to </w:t>
      </w:r>
      <w:r w:rsidR="004C5132">
        <w:t xml:space="preserve">better </w:t>
      </w:r>
      <w:r>
        <w:t>ensure appropriate case exposure</w:t>
      </w:r>
      <w:r w:rsidR="0080663E">
        <w:t xml:space="preserve"> </w:t>
      </w:r>
      <w:proofErr w:type="spellStart"/>
      <w:r w:rsidR="0080663E">
        <w:t>eg.</w:t>
      </w:r>
      <w:proofErr w:type="spellEnd"/>
      <w:r w:rsidR="0080663E">
        <w:t xml:space="preserve"> </w:t>
      </w:r>
      <w:r w:rsidR="004C5132">
        <w:t xml:space="preserve">systems might allow you to </w:t>
      </w:r>
      <w:r w:rsidR="0011554E">
        <w:t>improve</w:t>
      </w:r>
      <w:r w:rsidR="004C5132">
        <w:t xml:space="preserve"> access </w:t>
      </w:r>
      <w:r w:rsidR="0011554E">
        <w:t xml:space="preserve">to </w:t>
      </w:r>
      <w:r w:rsidR="004C5132">
        <w:t>the right kinds of cases</w:t>
      </w:r>
    </w:p>
    <w:p w14:paraId="5CC3122C" w14:textId="73140368" w:rsidR="00AB0D3A" w:rsidRDefault="00D57DF4" w:rsidP="00DD2500">
      <w:pPr>
        <w:pStyle w:val="ListBullet"/>
      </w:pPr>
      <w:r>
        <w:t>Self</w:t>
      </w:r>
      <w:r w:rsidR="00755E49">
        <w:t>-</w:t>
      </w:r>
      <w:r>
        <w:t xml:space="preserve">assess and identify and address </w:t>
      </w:r>
      <w:r w:rsidR="0096561E" w:rsidRPr="00D537E2">
        <w:rPr>
          <w:b/>
          <w:bCs/>
        </w:rPr>
        <w:t xml:space="preserve">knowledge </w:t>
      </w:r>
      <w:r w:rsidRPr="00D537E2">
        <w:rPr>
          <w:b/>
          <w:bCs/>
        </w:rPr>
        <w:t>gaps</w:t>
      </w:r>
      <w:r>
        <w:t xml:space="preserve">  </w:t>
      </w:r>
    </w:p>
    <w:p w14:paraId="1B33824D" w14:textId="46B80C72" w:rsidR="00AB0D3A" w:rsidRDefault="00594860" w:rsidP="00D537E2">
      <w:pPr>
        <w:pStyle w:val="ListBullet"/>
      </w:pPr>
      <w:r w:rsidRPr="004F1D53">
        <w:rPr>
          <w:b/>
          <w:bCs/>
        </w:rPr>
        <w:t xml:space="preserve">Problems new </w:t>
      </w:r>
      <w:r w:rsidR="00D57DF4">
        <w:rPr>
          <w:b/>
          <w:bCs/>
        </w:rPr>
        <w:t>to you</w:t>
      </w:r>
      <w:r>
        <w:t xml:space="preserve"> rather than</w:t>
      </w:r>
      <w:r w:rsidR="004D37DF">
        <w:t xml:space="preserve"> follow-ups more likely to be </w:t>
      </w:r>
      <w:r w:rsidR="00130BBB">
        <w:t>appropriate for submission</w:t>
      </w:r>
    </w:p>
    <w:p w14:paraId="6F08CA0E" w14:textId="1DC2415D" w:rsidR="00AB0D3A" w:rsidRDefault="00130BBB" w:rsidP="00D537E2">
      <w:pPr>
        <w:pStyle w:val="ListBullet"/>
      </w:pPr>
      <w:r>
        <w:t xml:space="preserve">Consider </w:t>
      </w:r>
      <w:r w:rsidR="00D57DF4">
        <w:t xml:space="preserve">your </w:t>
      </w:r>
      <w:r w:rsidRPr="004F1D53">
        <w:rPr>
          <w:b/>
          <w:bCs/>
        </w:rPr>
        <w:t>appointment length</w:t>
      </w:r>
      <w:r>
        <w:t xml:space="preserve"> to ensure adequate time for the video and consent but </w:t>
      </w:r>
      <w:r w:rsidR="00594860">
        <w:t xml:space="preserve">sufficient case numbers </w:t>
      </w:r>
      <w:r>
        <w:t xml:space="preserve">to ensure </w:t>
      </w:r>
      <w:r w:rsidR="00594860">
        <w:t>opportunity for a good submission spectrum</w:t>
      </w:r>
    </w:p>
    <w:p w14:paraId="1DBA43B0" w14:textId="40525F5B" w:rsidR="005C1711" w:rsidRPr="00D537E2" w:rsidRDefault="00130BBB" w:rsidP="00D537E2">
      <w:pPr>
        <w:pStyle w:val="ListBullet"/>
        <w:rPr>
          <w:strike/>
        </w:rPr>
      </w:pPr>
      <w:r>
        <w:t xml:space="preserve">Consider </w:t>
      </w:r>
      <w:r w:rsidR="00D57DF4">
        <w:rPr>
          <w:b/>
          <w:bCs/>
        </w:rPr>
        <w:t xml:space="preserve">your own </w:t>
      </w:r>
      <w:r w:rsidRPr="000101AB">
        <w:rPr>
          <w:b/>
          <w:bCs/>
        </w:rPr>
        <w:t>wellbeing</w:t>
      </w:r>
      <w:r>
        <w:t xml:space="preserve"> – health, personal or practice issues.  </w:t>
      </w:r>
      <w:r w:rsidR="00D57DF4">
        <w:t>Access support from your Supervisor,</w:t>
      </w:r>
      <w:r>
        <w:t xml:space="preserve"> Training Programme Director, Associate Dean </w:t>
      </w:r>
      <w:r w:rsidR="00D57DF4">
        <w:t>or</w:t>
      </w:r>
      <w:r w:rsidR="00DD2500">
        <w:t xml:space="preserve"> </w:t>
      </w:r>
      <w:r>
        <w:t>Lead Employer where needed</w:t>
      </w:r>
    </w:p>
    <w:p w14:paraId="25E2FF3C" w14:textId="33210658" w:rsidR="00BB7226" w:rsidRDefault="00E34A1F" w:rsidP="00D537E2">
      <w:pPr>
        <w:pStyle w:val="ListBullet"/>
      </w:pPr>
      <w:r>
        <w:t>E</w:t>
      </w:r>
      <w:r w:rsidR="005C1711">
        <w:t>nsur</w:t>
      </w:r>
      <w:r w:rsidR="00D57DF4">
        <w:t>e you have</w:t>
      </w:r>
      <w:r w:rsidR="005C1711">
        <w:t xml:space="preserve"> a detailed </w:t>
      </w:r>
      <w:r w:rsidR="005C1711" w:rsidRPr="00D537E2">
        <w:rPr>
          <w:b/>
          <w:bCs/>
        </w:rPr>
        <w:t>understanding of the assessment</w:t>
      </w:r>
      <w:r w:rsidR="00751129">
        <w:t xml:space="preserve"> – there is a lot of information on the RCGP </w:t>
      </w:r>
      <w:proofErr w:type="gramStart"/>
      <w:r w:rsidR="00751129">
        <w:t>website</w:t>
      </w:r>
      <w:proofErr w:type="gramEnd"/>
      <w:r w:rsidR="00751129">
        <w:t xml:space="preserve"> and </w:t>
      </w:r>
      <w:r w:rsidR="00D57DF4">
        <w:t xml:space="preserve">you </w:t>
      </w:r>
      <w:r w:rsidR="00751129">
        <w:t>need to take time to read and digest this</w:t>
      </w:r>
    </w:p>
    <w:p w14:paraId="603223FE" w14:textId="3B32EA13" w:rsidR="005E4C7F" w:rsidRDefault="005E4C7F" w:rsidP="00D537E2">
      <w:pPr>
        <w:pStyle w:val="ListBullet"/>
      </w:pPr>
      <w:proofErr w:type="spellStart"/>
      <w:r w:rsidRPr="00D537E2">
        <w:rPr>
          <w:b/>
          <w:bCs/>
        </w:rPr>
        <w:t>Analyse</w:t>
      </w:r>
      <w:proofErr w:type="spellEnd"/>
      <w:r w:rsidRPr="00D537E2">
        <w:rPr>
          <w:b/>
          <w:bCs/>
        </w:rPr>
        <w:t xml:space="preserve"> and identify </w:t>
      </w:r>
      <w:r w:rsidR="00130BBB" w:rsidRPr="00D537E2">
        <w:rPr>
          <w:b/>
          <w:bCs/>
        </w:rPr>
        <w:t xml:space="preserve">recurrent </w:t>
      </w:r>
      <w:r w:rsidR="00594860" w:rsidRPr="00D537E2">
        <w:rPr>
          <w:b/>
          <w:bCs/>
        </w:rPr>
        <w:t xml:space="preserve">consultation skills </w:t>
      </w:r>
      <w:r w:rsidR="00130BBB" w:rsidRPr="00D537E2">
        <w:rPr>
          <w:b/>
          <w:bCs/>
        </w:rPr>
        <w:t>problems</w:t>
      </w:r>
      <w:r w:rsidR="00130BBB">
        <w:t xml:space="preserve"> and address these </w:t>
      </w:r>
      <w:r>
        <w:t>as a matter of urgency</w:t>
      </w:r>
      <w:r w:rsidR="000E19F1">
        <w:t xml:space="preserve"> </w:t>
      </w:r>
      <w:r w:rsidR="004067AB">
        <w:t>–</w:t>
      </w:r>
      <w:r>
        <w:t xml:space="preserve"> </w:t>
      </w:r>
      <w:r w:rsidR="00AC4E94">
        <w:t xml:space="preserve">subscribe to the </w:t>
      </w:r>
      <w:r w:rsidR="00AC4E94" w:rsidRPr="00266AC9">
        <w:rPr>
          <w:b/>
          <w:bCs/>
        </w:rPr>
        <w:t>RCA Plus package</w:t>
      </w:r>
      <w:r w:rsidR="00AC4E94">
        <w:t xml:space="preserve"> on FourteenFish to </w:t>
      </w:r>
      <w:proofErr w:type="gramStart"/>
      <w:r w:rsidR="00AC4E94">
        <w:t xml:space="preserve">use </w:t>
      </w:r>
      <w:r>
        <w:t xml:space="preserve"> the</w:t>
      </w:r>
      <w:proofErr w:type="gramEnd"/>
      <w:r>
        <w:t xml:space="preserve"> </w:t>
      </w:r>
      <w:r w:rsidR="000E19F1" w:rsidRPr="000E19F1">
        <w:rPr>
          <w:b/>
          <w:bCs/>
          <w:color w:val="000000" w:themeColor="text1"/>
        </w:rPr>
        <w:t>Consultation</w:t>
      </w:r>
      <w:r w:rsidRPr="000E19F1">
        <w:rPr>
          <w:b/>
          <w:bCs/>
          <w:color w:val="000000" w:themeColor="text1"/>
        </w:rPr>
        <w:t xml:space="preserve"> Tool</w:t>
      </w:r>
      <w:r w:rsidR="00AC4E94">
        <w:rPr>
          <w:color w:val="000000" w:themeColor="text1"/>
        </w:rPr>
        <w:t xml:space="preserve"> </w:t>
      </w:r>
      <w:r w:rsidR="000E19F1">
        <w:t xml:space="preserve"> </w:t>
      </w:r>
      <w:r>
        <w:t xml:space="preserve">working with your trainer to </w:t>
      </w:r>
      <w:proofErr w:type="spellStart"/>
      <w:r>
        <w:t>analyse</w:t>
      </w:r>
      <w:proofErr w:type="spellEnd"/>
      <w:r>
        <w:t xml:space="preserve"> and plan educational st</w:t>
      </w:r>
      <w:r w:rsidR="00E34A1F">
        <w:t>rat</w:t>
      </w:r>
      <w:r>
        <w:t>e</w:t>
      </w:r>
      <w:r w:rsidR="00E34A1F">
        <w:t>g</w:t>
      </w:r>
      <w:r>
        <w:t xml:space="preserve">ies to change </w:t>
      </w:r>
      <w:proofErr w:type="spellStart"/>
      <w:r>
        <w:t>beh</w:t>
      </w:r>
      <w:r w:rsidR="00E34A1F">
        <w:t>a</w:t>
      </w:r>
      <w:r>
        <w:t>viours</w:t>
      </w:r>
      <w:proofErr w:type="spellEnd"/>
      <w:r w:rsidR="004F2A72">
        <w:t>. All ST3s can claim reimbursement of the RCA Plus cost through Study Leave budgets.</w:t>
      </w:r>
    </w:p>
    <w:p w14:paraId="21EC73C7" w14:textId="2DB47E62" w:rsidR="00BB7226" w:rsidRDefault="005E4C7F" w:rsidP="004067AB">
      <w:pPr>
        <w:pStyle w:val="ListBullet"/>
      </w:pPr>
      <w:proofErr w:type="spellStart"/>
      <w:r>
        <w:t>Prior</w:t>
      </w:r>
      <w:r w:rsidR="00E34A1F">
        <w:t>i</w:t>
      </w:r>
      <w:r>
        <w:t>tise</w:t>
      </w:r>
      <w:proofErr w:type="spellEnd"/>
      <w:r>
        <w:t xml:space="preserve"> </w:t>
      </w:r>
      <w:r w:rsidRPr="00D537E2">
        <w:rPr>
          <w:b/>
          <w:bCs/>
        </w:rPr>
        <w:t>key consultation tasks and skills</w:t>
      </w:r>
      <w:r>
        <w:t xml:space="preserve"> as summarized in the </w:t>
      </w:r>
      <w:r w:rsidR="000E19F1" w:rsidRPr="00A74E3A">
        <w:rPr>
          <w:b/>
          <w:bCs/>
          <w:color w:val="000000" w:themeColor="text1"/>
        </w:rPr>
        <w:t xml:space="preserve">Consultation </w:t>
      </w:r>
      <w:proofErr w:type="spellStart"/>
      <w:r w:rsidR="000E19F1" w:rsidRPr="00A74E3A">
        <w:rPr>
          <w:b/>
          <w:bCs/>
          <w:color w:val="000000" w:themeColor="text1"/>
        </w:rPr>
        <w:t>tookit</w:t>
      </w:r>
      <w:proofErr w:type="spellEnd"/>
      <w:r w:rsidRPr="00A74E3A">
        <w:rPr>
          <w:color w:val="000000" w:themeColor="text1"/>
        </w:rPr>
        <w:t xml:space="preserve"> </w:t>
      </w:r>
    </w:p>
    <w:p w14:paraId="372FD5AB" w14:textId="0F68E145" w:rsidR="00E34A1F" w:rsidRDefault="00A71E76" w:rsidP="00266AC9">
      <w:pPr>
        <w:pStyle w:val="ListBullet"/>
      </w:pPr>
      <w:r>
        <w:t xml:space="preserve">Remember that the examiner can’t see the patient’s medical record so </w:t>
      </w:r>
      <w:proofErr w:type="spellStart"/>
      <w:r w:rsidR="0011554E" w:rsidRPr="00D537E2">
        <w:rPr>
          <w:b/>
          <w:bCs/>
        </w:rPr>
        <w:t>verbalise</w:t>
      </w:r>
      <w:proofErr w:type="spellEnd"/>
      <w:r w:rsidR="0011554E" w:rsidRPr="00D537E2">
        <w:rPr>
          <w:b/>
          <w:bCs/>
        </w:rPr>
        <w:t xml:space="preserve"> </w:t>
      </w:r>
      <w:r w:rsidRPr="00D537E2">
        <w:rPr>
          <w:b/>
          <w:bCs/>
        </w:rPr>
        <w:t xml:space="preserve">all </w:t>
      </w:r>
      <w:r w:rsidRPr="00D537E2">
        <w:rPr>
          <w:b/>
          <w:bCs/>
          <w:i/>
          <w:iCs/>
        </w:rPr>
        <w:t xml:space="preserve">relevant </w:t>
      </w:r>
      <w:r w:rsidR="0011554E" w:rsidRPr="00D537E2">
        <w:rPr>
          <w:b/>
          <w:bCs/>
        </w:rPr>
        <w:t>patient information</w:t>
      </w:r>
      <w:r w:rsidR="0011554E">
        <w:t xml:space="preserve"> for example, </w:t>
      </w:r>
      <w:r>
        <w:t>allergies, medication, past medical history</w:t>
      </w:r>
    </w:p>
    <w:p w14:paraId="1DA58607" w14:textId="4ADA8D96" w:rsidR="00D11555" w:rsidRPr="009271DE" w:rsidRDefault="005E4C7F" w:rsidP="00266AC9">
      <w:pPr>
        <w:pStyle w:val="ListBullet"/>
        <w:rPr>
          <w:lang w:val="en-GB" w:eastAsia="en-GB"/>
        </w:rPr>
      </w:pPr>
      <w:r>
        <w:t xml:space="preserve">Care with submitting consultations where </w:t>
      </w:r>
      <w:r w:rsidR="000E19F1">
        <w:t>more than</w:t>
      </w:r>
      <w:r>
        <w:t xml:space="preserve"> 1 problem is presented</w:t>
      </w:r>
      <w:r w:rsidR="00DC264E">
        <w:t xml:space="preserve"> by the patient, for example ear wax and rectal bleeding.</w:t>
      </w:r>
      <w:r>
        <w:t xml:space="preserve"> You may struggle to cover both well in the 10 minutes time limit. </w:t>
      </w:r>
      <w:r w:rsidR="0011554E">
        <w:t>You must also avoid spending excess time o</w:t>
      </w:r>
      <w:r w:rsidR="009F2F6C">
        <w:t>n</w:t>
      </w:r>
      <w:r w:rsidR="0011554E">
        <w:t xml:space="preserve"> the less important one</w:t>
      </w:r>
      <w:r w:rsidR="006F01E2">
        <w:t xml:space="preserve">, in this case the ear wax. </w:t>
      </w:r>
    </w:p>
    <w:p w14:paraId="1C168020" w14:textId="63682C2D" w:rsidR="0055003C" w:rsidRDefault="006F01E2" w:rsidP="00266AC9">
      <w:pPr>
        <w:pStyle w:val="ListBullet"/>
      </w:pPr>
      <w:r>
        <w:rPr>
          <w:lang w:val="en-GB" w:eastAsia="en-GB"/>
        </w:rPr>
        <w:t>Care with physical examination cases ‘</w:t>
      </w:r>
      <w:r w:rsidR="00E66F38" w:rsidRPr="003229F5">
        <w:rPr>
          <w:i/>
          <w:iCs/>
          <w:lang w:val="en-GB" w:eastAsia="en-GB"/>
        </w:rPr>
        <w:t xml:space="preserve">A consultation in which clothing equivalent to the ‘swimsuit area’, is removed and </w:t>
      </w:r>
      <w:r w:rsidR="008B7776">
        <w:rPr>
          <w:i/>
          <w:iCs/>
          <w:lang w:val="en-GB" w:eastAsia="en-GB"/>
        </w:rPr>
        <w:t>can be seen</w:t>
      </w:r>
      <w:r w:rsidR="00E66F38" w:rsidRPr="003229F5">
        <w:rPr>
          <w:i/>
          <w:iCs/>
          <w:lang w:val="en-GB" w:eastAsia="en-GB"/>
        </w:rPr>
        <w:t xml:space="preserve"> on a visual recording must not be submitted for assessment.  If a consultation is submitted, where this guidance is breached, no marks will be awarded for that consultation.</w:t>
      </w:r>
      <w:r>
        <w:rPr>
          <w:i/>
          <w:iCs/>
          <w:lang w:val="en-GB" w:eastAsia="en-GB"/>
        </w:rPr>
        <w:t>’</w:t>
      </w:r>
      <w:r w:rsidR="00E66F38" w:rsidRPr="003229F5">
        <w:rPr>
          <w:i/>
          <w:iCs/>
          <w:lang w:val="en-GB" w:eastAsia="en-GB"/>
        </w:rPr>
        <w:t> </w:t>
      </w:r>
      <w:r w:rsidR="00DD66C4">
        <w:rPr>
          <w:i/>
          <w:iCs/>
          <w:lang w:val="en-GB" w:eastAsia="en-GB"/>
        </w:rPr>
        <w:t>RCGP website</w:t>
      </w:r>
      <w:r w:rsidR="003E1F10">
        <w:rPr>
          <w:i/>
          <w:iCs/>
          <w:lang w:val="en-GB" w:eastAsia="en-GB"/>
        </w:rPr>
        <w:t xml:space="preserve"> (see detailed guidance and video on this)</w:t>
      </w:r>
    </w:p>
    <w:p w14:paraId="566002CE" w14:textId="5DB5046B" w:rsidR="006F01E2" w:rsidRDefault="0055003C">
      <w:pPr>
        <w:pStyle w:val="ListBullet"/>
        <w:numPr>
          <w:ilvl w:val="0"/>
          <w:numId w:val="0"/>
        </w:numPr>
      </w:pPr>
      <w:r w:rsidRPr="009271DE">
        <w:rPr>
          <w:b/>
          <w:bCs/>
          <w:color w:val="FF0000"/>
        </w:rPr>
        <w:t>WARNING</w:t>
      </w:r>
      <w:r>
        <w:t xml:space="preserve">: </w:t>
      </w:r>
      <w:r w:rsidR="003E1F10">
        <w:t>In the RCA you</w:t>
      </w:r>
      <w:r w:rsidR="00C806D3">
        <w:t xml:space="preserve"> select the cases for submission yourself.  </w:t>
      </w:r>
      <w:r w:rsidR="00C806D3">
        <w:rPr>
          <w:b/>
          <w:bCs/>
          <w:color w:val="FF0000"/>
        </w:rPr>
        <w:t>A big</w:t>
      </w:r>
      <w:r w:rsidRPr="009271DE">
        <w:rPr>
          <w:b/>
          <w:bCs/>
          <w:color w:val="FF0000"/>
        </w:rPr>
        <w:t xml:space="preserve"> risk is one of INSUFFICIENT EVIDENCE</w:t>
      </w:r>
      <w:r>
        <w:t>, forcing the examiner to fail the case in one or more domains. A wide, diverse case submission is most likely to present sufficient evidence.</w:t>
      </w:r>
      <w:r w:rsidR="00F55157">
        <w:t xml:space="preserve">  </w:t>
      </w:r>
      <w:r w:rsidR="00C806D3">
        <w:t>Ensure</w:t>
      </w:r>
      <w:r w:rsidR="00F55157" w:rsidRPr="00A31778">
        <w:rPr>
          <w:color w:val="C00000"/>
        </w:rPr>
        <w:t xml:space="preserve"> </w:t>
      </w:r>
      <w:r w:rsidR="00F55157" w:rsidRPr="003E1F10">
        <w:rPr>
          <w:color w:val="FF0000"/>
        </w:rPr>
        <w:t xml:space="preserve">there is </w:t>
      </w:r>
      <w:r w:rsidR="00F55157" w:rsidRPr="00A31778">
        <w:rPr>
          <w:color w:val="C00000"/>
        </w:rPr>
        <w:t xml:space="preserve">sufficient challenge in cases </w:t>
      </w:r>
      <w:r w:rsidR="00F55157">
        <w:t>– think</w:t>
      </w:r>
      <w:r w:rsidR="00F724B5">
        <w:t xml:space="preserve">, </w:t>
      </w:r>
      <w:r w:rsidR="00F55157">
        <w:t xml:space="preserve">would this case be best seen by a </w:t>
      </w:r>
      <w:proofErr w:type="gramStart"/>
      <w:r w:rsidR="00F55157">
        <w:t>GP</w:t>
      </w:r>
      <w:proofErr w:type="gramEnd"/>
      <w:r w:rsidR="00F55157">
        <w:t xml:space="preserve"> and does it provide sufficient evidence that </w:t>
      </w:r>
      <w:r w:rsidR="00C806D3">
        <w:t>you are</w:t>
      </w:r>
      <w:r w:rsidR="00F55157">
        <w:t xml:space="preserve"> a capable GP</w:t>
      </w:r>
      <w:r w:rsidR="00A31778">
        <w:t xml:space="preserve">.  </w:t>
      </w:r>
    </w:p>
    <w:p w14:paraId="6E8B726A" w14:textId="05BFEF6E" w:rsidR="00A31778" w:rsidRDefault="00A31778">
      <w:pPr>
        <w:pStyle w:val="ListBullet"/>
        <w:numPr>
          <w:ilvl w:val="0"/>
          <w:numId w:val="0"/>
        </w:numPr>
      </w:pPr>
      <w:r>
        <w:t xml:space="preserve">Note the </w:t>
      </w:r>
      <w:r w:rsidRPr="00D537E2">
        <w:rPr>
          <w:b/>
          <w:bCs/>
        </w:rPr>
        <w:t>‘</w:t>
      </w:r>
      <w:r w:rsidR="00DD66C4" w:rsidRPr="00D537E2">
        <w:rPr>
          <w:b/>
          <w:bCs/>
        </w:rPr>
        <w:t xml:space="preserve">Clear </w:t>
      </w:r>
      <w:r w:rsidR="006F01E2" w:rsidRPr="00D537E2">
        <w:rPr>
          <w:b/>
          <w:bCs/>
        </w:rPr>
        <w:t>F</w:t>
      </w:r>
      <w:r w:rsidRPr="00D537E2">
        <w:rPr>
          <w:b/>
          <w:bCs/>
        </w:rPr>
        <w:t>ail’ grade descriptor</w:t>
      </w:r>
      <w:r>
        <w:t>:</w:t>
      </w:r>
    </w:p>
    <w:p w14:paraId="44FD370F" w14:textId="2F5109C8" w:rsidR="00F724B5" w:rsidRPr="006F01E2" w:rsidRDefault="00A31778" w:rsidP="00D537E2">
      <w:pPr>
        <w:pStyle w:val="ListBullet"/>
        <w:numPr>
          <w:ilvl w:val="0"/>
          <w:numId w:val="27"/>
        </w:numPr>
        <w:rPr>
          <w:lang w:val="en-GB"/>
        </w:rPr>
      </w:pPr>
      <w:r>
        <w:rPr>
          <w:lang w:val="en-GB"/>
        </w:rPr>
        <w:t>‘</w:t>
      </w:r>
      <w:r w:rsidRPr="00A31778">
        <w:rPr>
          <w:lang w:val="en-GB"/>
        </w:rPr>
        <w:t xml:space="preserve">There is </w:t>
      </w:r>
      <w:r w:rsidRPr="00D537E2">
        <w:rPr>
          <w:b/>
          <w:bCs/>
          <w:color w:val="FF0000"/>
          <w:lang w:val="en-GB"/>
        </w:rPr>
        <w:t>no evidence or very limited evidence</w:t>
      </w:r>
      <w:r w:rsidRPr="00D537E2">
        <w:rPr>
          <w:color w:val="FF0000"/>
          <w:lang w:val="en-GB"/>
        </w:rPr>
        <w:t xml:space="preserve"> </w:t>
      </w:r>
      <w:r w:rsidRPr="00A31778">
        <w:rPr>
          <w:lang w:val="en-GB"/>
        </w:rPr>
        <w:t>provided to demonstrate capability of a doctor sufficient for safe independent UK General Practice in this domain.</w:t>
      </w:r>
      <w:r>
        <w:rPr>
          <w:lang w:val="en-GB"/>
        </w:rPr>
        <w:t>’</w:t>
      </w:r>
    </w:p>
    <w:p w14:paraId="57DA8669" w14:textId="2079D740" w:rsidR="00C806D3" w:rsidRPr="00665344" w:rsidRDefault="00665344">
      <w:pPr>
        <w:pStyle w:val="ListBullet"/>
        <w:numPr>
          <w:ilvl w:val="0"/>
          <w:numId w:val="0"/>
        </w:numPr>
        <w:rPr>
          <w:rFonts w:cs="Tahoma (Body CS)"/>
          <w:color w:val="C00000"/>
        </w:rPr>
      </w:pPr>
      <w:r>
        <w:t xml:space="preserve">The RCGP has a link to describe insufficient evidence/low challenge cases:  </w:t>
      </w:r>
      <w:hyperlink r:id="rId18" w:history="1">
        <w:r w:rsidRPr="00665344">
          <w:rPr>
            <w:rStyle w:val="Hyperlink"/>
            <w:rFonts w:cs="Tahoma (Body CS)"/>
            <w:color w:val="C00000"/>
          </w:rPr>
          <w:t>Details on low challenge/insufficient evidence cases</w:t>
        </w:r>
      </w:hyperlink>
    </w:p>
    <w:p w14:paraId="64539BB7" w14:textId="52F107AF" w:rsidR="00C300F5" w:rsidRDefault="002547B7" w:rsidP="00D537E2">
      <w:pPr>
        <w:pStyle w:val="Heading1"/>
        <w:pBdr>
          <w:top w:val="single" w:sz="24" w:space="1" w:color="262626" w:themeColor="text1" w:themeTint="D9"/>
        </w:pBdr>
      </w:pPr>
      <w:r>
        <w:lastRenderedPageBreak/>
        <w:t xml:space="preserve">GP </w:t>
      </w:r>
      <w:r w:rsidR="00C300F5">
        <w:t xml:space="preserve">PRACTICE </w:t>
      </w:r>
      <w:r w:rsidR="00D04FB9">
        <w:t>systems to support you</w:t>
      </w:r>
    </w:p>
    <w:p w14:paraId="0D73F8EA" w14:textId="072179D0" w:rsidR="00C20207" w:rsidRDefault="00DD66C4" w:rsidP="00C20207">
      <w:pPr>
        <w:pStyle w:val="ListBullet"/>
        <w:numPr>
          <w:ilvl w:val="0"/>
          <w:numId w:val="26"/>
        </w:numPr>
      </w:pPr>
      <w:r>
        <w:t>Master</w:t>
      </w:r>
      <w:r w:rsidR="00C20207">
        <w:t xml:space="preserve"> the </w:t>
      </w:r>
      <w:r w:rsidR="001C4D71">
        <w:t xml:space="preserve">recording </w:t>
      </w:r>
      <w:r w:rsidR="00C20207">
        <w:t>technology</w:t>
      </w:r>
      <w:r>
        <w:t>!</w:t>
      </w:r>
      <w:r w:rsidR="00C20207">
        <w:t xml:space="preserve">  </w:t>
      </w:r>
      <w:r w:rsidR="007D031C">
        <w:t xml:space="preserve">Avoid a situation where a </w:t>
      </w:r>
      <w:r w:rsidR="00C20207">
        <w:t xml:space="preserve">great consultation can’t be submitted due to failure of technological processes </w:t>
      </w:r>
    </w:p>
    <w:p w14:paraId="378EB846" w14:textId="1B4F117E" w:rsidR="00C20207" w:rsidRDefault="008A47E6" w:rsidP="00C20207">
      <w:pPr>
        <w:pStyle w:val="ListBullet"/>
        <w:numPr>
          <w:ilvl w:val="0"/>
          <w:numId w:val="26"/>
        </w:numPr>
      </w:pPr>
      <w:r>
        <w:t xml:space="preserve">Ensure good sound quality.  Consider a ‘do not disturb sign’ on the door and </w:t>
      </w:r>
      <w:r w:rsidR="00DD66C4">
        <w:t>on your telephone. Ask for a bar</w:t>
      </w:r>
      <w:r w:rsidR="003229F5">
        <w:t xml:space="preserve"> </w:t>
      </w:r>
      <w:r w:rsidR="00DD66C4">
        <w:t xml:space="preserve">on </w:t>
      </w:r>
      <w:r>
        <w:t>screen messages</w:t>
      </w:r>
      <w:r w:rsidR="00DD66C4">
        <w:t xml:space="preserve"> during recording periods. </w:t>
      </w:r>
    </w:p>
    <w:p w14:paraId="02698FFF" w14:textId="7C46B17B" w:rsidR="0015172E" w:rsidRDefault="0015172E" w:rsidP="00C20207">
      <w:pPr>
        <w:pStyle w:val="ListBullet"/>
        <w:numPr>
          <w:ilvl w:val="0"/>
          <w:numId w:val="26"/>
        </w:numPr>
      </w:pPr>
      <w:r>
        <w:t xml:space="preserve">Video and face to face consultations should show </w:t>
      </w:r>
      <w:r w:rsidR="00313AFF">
        <w:t xml:space="preserve">your face </w:t>
      </w:r>
      <w:r>
        <w:t>and patient’s face</w:t>
      </w:r>
      <w:r w:rsidR="00DD66C4">
        <w:t xml:space="preserve"> </w:t>
      </w:r>
      <w:r w:rsidR="00DD66C4" w:rsidRPr="003229F5">
        <w:rPr>
          <w:i/>
          <w:iCs/>
        </w:rPr>
        <w:t>if possible</w:t>
      </w:r>
    </w:p>
    <w:p w14:paraId="31124B67" w14:textId="6B374A48" w:rsidR="006F01E2" w:rsidRDefault="009F2A69" w:rsidP="00C20207">
      <w:pPr>
        <w:pStyle w:val="ListBullet"/>
        <w:numPr>
          <w:ilvl w:val="0"/>
          <w:numId w:val="26"/>
        </w:numPr>
      </w:pPr>
      <w:r>
        <w:t>For telephone consultation recordings via digital platforms</w:t>
      </w:r>
      <w:r w:rsidR="00DD66C4">
        <w:t>, consider</w:t>
      </w:r>
      <w:r>
        <w:t xml:space="preserve"> inform</w:t>
      </w:r>
      <w:r w:rsidR="00DD66C4">
        <w:t>ing</w:t>
      </w:r>
      <w:r>
        <w:t xml:space="preserve"> patients that the area code might not be local, to avoid the</w:t>
      </w:r>
      <w:r w:rsidR="006F01E2">
        <w:t xml:space="preserve"> risk of</w:t>
      </w:r>
      <w:r>
        <w:t xml:space="preserve"> </w:t>
      </w:r>
      <w:r w:rsidR="00DD66C4">
        <w:t>thinking</w:t>
      </w:r>
      <w:r>
        <w:t xml:space="preserve"> they are being contacted by a hoax caller</w:t>
      </w:r>
    </w:p>
    <w:p w14:paraId="0AA896EE" w14:textId="786B1385" w:rsidR="006F01E2" w:rsidRDefault="00DD66C4" w:rsidP="00D537E2">
      <w:pPr>
        <w:pStyle w:val="ListBullet"/>
        <w:numPr>
          <w:ilvl w:val="0"/>
          <w:numId w:val="26"/>
        </w:numPr>
      </w:pPr>
      <w:r>
        <w:t>Discuss with your trainer,</w:t>
      </w:r>
      <w:r w:rsidR="00597D53">
        <w:t xml:space="preserve"> the practice procedures for </w:t>
      </w:r>
      <w:r w:rsidR="00D24C90">
        <w:t>allocating cases to you</w:t>
      </w:r>
      <w:r w:rsidR="00597D53">
        <w:t xml:space="preserve"> – are they pre-triaged/directed by a care navigator</w:t>
      </w:r>
      <w:r w:rsidR="00C523EC">
        <w:t>?</w:t>
      </w:r>
      <w:r w:rsidR="003229F5">
        <w:t xml:space="preserve">  H</w:t>
      </w:r>
      <w:r w:rsidR="00597D53">
        <w:t xml:space="preserve">ow </w:t>
      </w:r>
      <w:r>
        <w:t xml:space="preserve">can </w:t>
      </w:r>
      <w:r w:rsidR="00597D53">
        <w:t xml:space="preserve">the practice system be used to the best advantage </w:t>
      </w:r>
      <w:r w:rsidR="00D24C90">
        <w:t xml:space="preserve">to allow you to access </w:t>
      </w:r>
      <w:r w:rsidR="00597D53">
        <w:t>the most appropriate cases</w:t>
      </w:r>
      <w:r w:rsidR="00C523EC">
        <w:t>?</w:t>
      </w:r>
    </w:p>
    <w:p w14:paraId="17333B09" w14:textId="1F562322" w:rsidR="009F2A69" w:rsidRDefault="006F01E2" w:rsidP="00D537E2">
      <w:pPr>
        <w:pStyle w:val="ListBullet"/>
        <w:numPr>
          <w:ilvl w:val="0"/>
          <w:numId w:val="26"/>
        </w:numPr>
      </w:pPr>
      <w:r>
        <w:t>Ask if</w:t>
      </w:r>
      <w:r w:rsidR="00DD66C4">
        <w:t xml:space="preserve"> </w:t>
      </w:r>
      <w:r w:rsidR="00EC2B44">
        <w:t xml:space="preserve">clinical colleagues </w:t>
      </w:r>
      <w:r>
        <w:t xml:space="preserve">could </w:t>
      </w:r>
      <w:r w:rsidR="00EC2B44">
        <w:t xml:space="preserve">be made aware of the right </w:t>
      </w:r>
      <w:r w:rsidR="00DD66C4">
        <w:t>types and variety</w:t>
      </w:r>
      <w:r w:rsidR="00EC2B44">
        <w:t xml:space="preserve"> of cases </w:t>
      </w:r>
      <w:r w:rsidR="00D24C90">
        <w:t>that would work for this assessment</w:t>
      </w:r>
      <w:r w:rsidR="00EC2B44">
        <w:t xml:space="preserve"> </w:t>
      </w:r>
      <w:r w:rsidR="00D24C90">
        <w:t xml:space="preserve">and if they can help to direct these to you </w:t>
      </w:r>
      <w:proofErr w:type="spellStart"/>
      <w:proofErr w:type="gramStart"/>
      <w:r w:rsidR="00D24C90">
        <w:t>eg</w:t>
      </w:r>
      <w:proofErr w:type="spellEnd"/>
      <w:proofErr w:type="gramEnd"/>
      <w:r w:rsidR="00D24C90">
        <w:t xml:space="preserve"> if a nurse comes across a blood test showing a patient is a new diabetic</w:t>
      </w:r>
    </w:p>
    <w:p w14:paraId="2777A022" w14:textId="6959B5D8" w:rsidR="00DD66C4" w:rsidRDefault="00BA5D97" w:rsidP="00DD66C4">
      <w:pPr>
        <w:pStyle w:val="ListBullet"/>
        <w:numPr>
          <w:ilvl w:val="0"/>
          <w:numId w:val="26"/>
        </w:numPr>
      </w:pPr>
      <w:r>
        <w:t xml:space="preserve">Ask if </w:t>
      </w:r>
      <w:r w:rsidR="00E97DE0">
        <w:t>only willing or consent</w:t>
      </w:r>
      <w:r w:rsidR="007D7FDB">
        <w:t>ing</w:t>
      </w:r>
      <w:r w:rsidR="00E97DE0">
        <w:t xml:space="preserve"> patients for recording </w:t>
      </w:r>
      <w:proofErr w:type="gramStart"/>
      <w:r w:rsidR="00DD66C4">
        <w:t xml:space="preserve">can </w:t>
      </w:r>
      <w:r w:rsidR="00E97DE0">
        <w:t>to</w:t>
      </w:r>
      <w:proofErr w:type="gramEnd"/>
      <w:r w:rsidR="00E97DE0">
        <w:t xml:space="preserve"> be directed to </w:t>
      </w:r>
      <w:r w:rsidR="00D24C90">
        <w:t>you</w:t>
      </w:r>
      <w:r w:rsidR="00DD66C4">
        <w:t xml:space="preserve"> and review your </w:t>
      </w:r>
      <w:r w:rsidR="0019044D">
        <w:t>appointment length – long enough for recording and the right balance of case exposure</w:t>
      </w:r>
      <w:r w:rsidR="00D24C90">
        <w:t xml:space="preserve"> appropriate for your consulting </w:t>
      </w:r>
    </w:p>
    <w:p w14:paraId="1865CEA0" w14:textId="5F6C68B6" w:rsidR="00C300F5" w:rsidRDefault="00DD66C4" w:rsidP="003229F5">
      <w:pPr>
        <w:pStyle w:val="ListBullet"/>
        <w:numPr>
          <w:ilvl w:val="0"/>
          <w:numId w:val="26"/>
        </w:numPr>
      </w:pPr>
      <w:r>
        <w:t>Other suggestions might be</w:t>
      </w:r>
      <w:r w:rsidR="00E31375">
        <w:t xml:space="preserve"> a</w:t>
      </w:r>
      <w:r>
        <w:t xml:space="preserve"> </w:t>
      </w:r>
      <w:r w:rsidR="00E31375">
        <w:t xml:space="preserve">clock on </w:t>
      </w:r>
      <w:r w:rsidR="00D24C90">
        <w:t>your</w:t>
      </w:r>
      <w:r w:rsidR="00E31375">
        <w:t xml:space="preserve"> desk to help </w:t>
      </w:r>
      <w:r>
        <w:t>awareness of</w:t>
      </w:r>
      <w:r w:rsidR="00E31375">
        <w:t xml:space="preserve"> time management issues</w:t>
      </w:r>
      <w:r>
        <w:t xml:space="preserve"> and a copy of the </w:t>
      </w:r>
      <w:r w:rsidR="004F2A72" w:rsidRPr="00266AC9">
        <w:rPr>
          <w:b/>
          <w:bCs/>
        </w:rPr>
        <w:t xml:space="preserve">Consultation </w:t>
      </w:r>
      <w:r w:rsidR="0057348A" w:rsidRPr="00280566">
        <w:rPr>
          <w:b/>
          <w:bCs/>
          <w:color w:val="000000" w:themeColor="text1"/>
        </w:rPr>
        <w:t>Overview</w:t>
      </w:r>
      <w:r w:rsidRPr="00D537E2">
        <w:rPr>
          <w:color w:val="941651"/>
        </w:rPr>
        <w:t xml:space="preserve"> </w:t>
      </w:r>
      <w:r>
        <w:t>to remind you of the structure of an effective consultation.</w:t>
      </w:r>
    </w:p>
    <w:p w14:paraId="2283D1CB" w14:textId="3C38467C" w:rsidR="00F724B5" w:rsidRDefault="00F724B5" w:rsidP="00F724B5">
      <w:pPr>
        <w:pStyle w:val="Heading1"/>
        <w:pBdr>
          <w:top w:val="single" w:sz="24" w:space="1" w:color="262626" w:themeColor="text1" w:themeTint="D9"/>
        </w:pBdr>
      </w:pPr>
      <w:r>
        <w:t>The GP Consultation</w:t>
      </w:r>
    </w:p>
    <w:p w14:paraId="28080B81" w14:textId="2E5059B6" w:rsidR="00C523EC" w:rsidRPr="00266AC9" w:rsidRDefault="00C523EC" w:rsidP="00C523EC">
      <w:pPr>
        <w:rPr>
          <w:b/>
          <w:bCs/>
        </w:rPr>
      </w:pPr>
      <w:r>
        <w:t>Y</w:t>
      </w:r>
      <w:r w:rsidR="00280566">
        <w:t>ou</w:t>
      </w:r>
      <w:r>
        <w:t xml:space="preserve"> </w:t>
      </w:r>
      <w:r w:rsidR="006F01E2">
        <w:t>need to</w:t>
      </w:r>
      <w:r>
        <w:t xml:space="preserve"> offer the evidence to </w:t>
      </w:r>
      <w:r w:rsidRPr="00266AC9">
        <w:rPr>
          <w:i/>
          <w:iCs/>
        </w:rPr>
        <w:t>reach the standard</w:t>
      </w:r>
      <w:r>
        <w:t xml:space="preserve"> </w:t>
      </w:r>
      <w:r w:rsidRPr="00266AC9">
        <w:rPr>
          <w:b/>
          <w:bCs/>
        </w:rPr>
        <w:t xml:space="preserve">‘Fit for independent practice in UK General Practice’. </w:t>
      </w:r>
    </w:p>
    <w:p w14:paraId="678A64A3" w14:textId="20315C89" w:rsidR="004F2A72" w:rsidRDefault="00C523EC" w:rsidP="00C523EC">
      <w:r>
        <w:t xml:space="preserve">We know from </w:t>
      </w:r>
      <w:r w:rsidR="006F01E2">
        <w:t>existing successful</w:t>
      </w:r>
      <w:r>
        <w:t xml:space="preserve"> CSA support offered </w:t>
      </w:r>
      <w:r w:rsidR="004F2A72">
        <w:t xml:space="preserve">in the </w:t>
      </w:r>
      <w:proofErr w:type="gramStart"/>
      <w:r w:rsidR="004F2A72">
        <w:t>North West</w:t>
      </w:r>
      <w:proofErr w:type="gramEnd"/>
      <w:r w:rsidR="004F2A72">
        <w:t xml:space="preserve">, </w:t>
      </w:r>
      <w:r w:rsidRPr="00E02136">
        <w:t>that</w:t>
      </w:r>
      <w:r>
        <w:t xml:space="preserve"> you must start with </w:t>
      </w:r>
      <w:r w:rsidRPr="00335805">
        <w:rPr>
          <w:b/>
          <w:bCs/>
        </w:rPr>
        <w:t>mastering how you consult. You need to consult ‘like a GP’ and not as a hospital doctor.</w:t>
      </w:r>
      <w:r>
        <w:t xml:space="preserve"> </w:t>
      </w:r>
    </w:p>
    <w:p w14:paraId="4343BAE6" w14:textId="77777777" w:rsidR="004F2A72" w:rsidRDefault="004F2A72" w:rsidP="004F2A72">
      <w:r>
        <w:t xml:space="preserve">We also know that you must have </w:t>
      </w:r>
      <w:r w:rsidRPr="00335805">
        <w:rPr>
          <w:b/>
          <w:bCs/>
        </w:rPr>
        <w:t>sufficient GP knowledge and know how to apply this to each patient</w:t>
      </w:r>
      <w:r>
        <w:t xml:space="preserve">, both to reach a diagnosis and to offer safe management plans. </w:t>
      </w:r>
    </w:p>
    <w:p w14:paraId="1AD78CBF" w14:textId="6A1681ED" w:rsidR="00C523EC" w:rsidRDefault="00C523EC" w:rsidP="00C523EC">
      <w:r>
        <w:t xml:space="preserve">The resources in the </w:t>
      </w:r>
      <w:r w:rsidR="00280566" w:rsidRPr="00280566">
        <w:rPr>
          <w:b/>
          <w:bCs/>
          <w:color w:val="000000" w:themeColor="text1"/>
        </w:rPr>
        <w:t>NW England Consultation Toolkit</w:t>
      </w:r>
      <w:r w:rsidRPr="00D537E2">
        <w:rPr>
          <w:color w:val="941651"/>
        </w:rPr>
        <w:t xml:space="preserve"> </w:t>
      </w:r>
      <w:r w:rsidR="004F2A72">
        <w:rPr>
          <w:color w:val="941651"/>
        </w:rPr>
        <w:t xml:space="preserve">(accessed via the </w:t>
      </w:r>
      <w:r w:rsidR="004F2A72" w:rsidRPr="00266AC9">
        <w:rPr>
          <w:b/>
          <w:bCs/>
          <w:color w:val="941651"/>
        </w:rPr>
        <w:t>RCA Plus package</w:t>
      </w:r>
      <w:r w:rsidR="004F2A72">
        <w:rPr>
          <w:color w:val="941651"/>
        </w:rPr>
        <w:t xml:space="preserve"> on FourteenFish) </w:t>
      </w:r>
      <w:r>
        <w:t xml:space="preserve">will help you to </w:t>
      </w:r>
      <w:proofErr w:type="spellStart"/>
      <w:r>
        <w:t>analyse</w:t>
      </w:r>
      <w:proofErr w:type="spellEnd"/>
      <w:r>
        <w:t xml:space="preserve"> where your consulting is up </w:t>
      </w:r>
      <w:r w:rsidR="009F2F6C">
        <w:t xml:space="preserve">to </w:t>
      </w:r>
      <w:r>
        <w:t xml:space="preserve">and how to develop weak areas </w:t>
      </w:r>
      <w:proofErr w:type="gramStart"/>
      <w:r w:rsidR="004F2A72">
        <w:t>and also</w:t>
      </w:r>
      <w:proofErr w:type="gramEnd"/>
      <w:r w:rsidR="004F2A72">
        <w:t xml:space="preserve"> offer strategies for improving your knowle</w:t>
      </w:r>
      <w:r w:rsidR="00266AC9">
        <w:t>d</w:t>
      </w:r>
      <w:r w:rsidR="004F2A72">
        <w:t>ge</w:t>
      </w:r>
    </w:p>
    <w:p w14:paraId="2B7053B3" w14:textId="5AFCEE46" w:rsidR="003F5EB2" w:rsidRPr="00F724B5" w:rsidRDefault="003F5EB2" w:rsidP="003F5EB2">
      <w:pPr>
        <w:pStyle w:val="Heading1"/>
        <w:rPr>
          <w:rStyle w:val="Emphasis"/>
          <w:i/>
          <w:iCs w:val="0"/>
        </w:rPr>
      </w:pPr>
      <w:r w:rsidRPr="00F724B5">
        <w:rPr>
          <w:rStyle w:val="Emphasis"/>
          <w:i/>
          <w:iCs w:val="0"/>
        </w:rPr>
        <w:t>Practi</w:t>
      </w:r>
      <w:r w:rsidR="00280566">
        <w:rPr>
          <w:rStyle w:val="Emphasis"/>
          <w:i/>
          <w:iCs w:val="0"/>
        </w:rPr>
        <w:t>c</w:t>
      </w:r>
      <w:r w:rsidRPr="00F724B5">
        <w:rPr>
          <w:rStyle w:val="Emphasis"/>
          <w:i/>
          <w:iCs w:val="0"/>
        </w:rPr>
        <w:t>e consultation skills</w:t>
      </w:r>
    </w:p>
    <w:p w14:paraId="0F47B945" w14:textId="712CF9F9" w:rsidR="003F5EB2" w:rsidRDefault="003F5EB2" w:rsidP="003F5EB2">
      <w:r>
        <w:t>Practi</w:t>
      </w:r>
      <w:r w:rsidR="00280566">
        <w:t>ce</w:t>
      </w:r>
      <w:r>
        <w:t xml:space="preserve"> is </w:t>
      </w:r>
      <w:proofErr w:type="gramStart"/>
      <w:r>
        <w:t>key, but</w:t>
      </w:r>
      <w:proofErr w:type="gramEnd"/>
      <w:r>
        <w:t xml:space="preserve"> take care not to reinforce</w:t>
      </w:r>
      <w:r w:rsidR="00C523EC">
        <w:t xml:space="preserve"> consulting </w:t>
      </w:r>
      <w:r w:rsidR="00F175C3">
        <w:t>‘</w:t>
      </w:r>
      <w:r w:rsidR="00C523EC">
        <w:t>like a hospital doctor</w:t>
      </w:r>
      <w:r w:rsidR="00F175C3">
        <w:t>’</w:t>
      </w:r>
      <w:r w:rsidR="00C523EC">
        <w:t xml:space="preserve">. </w:t>
      </w:r>
      <w:r w:rsidR="00F175C3">
        <w:t>You must change the way you consult as a</w:t>
      </w:r>
      <w:r w:rsidR="00B84F01">
        <w:t xml:space="preserve"> </w:t>
      </w:r>
      <w:proofErr w:type="gramStart"/>
      <w:r w:rsidR="00B84F01">
        <w:t>priority</w:t>
      </w:r>
      <w:r w:rsidR="00F175C3">
        <w:t>,</w:t>
      </w:r>
      <w:proofErr w:type="gramEnd"/>
      <w:r w:rsidR="00F175C3">
        <w:t xml:space="preserve"> the first step is to understand the </w:t>
      </w:r>
      <w:r w:rsidR="00F175C3" w:rsidRPr="00D537E2">
        <w:rPr>
          <w:b/>
          <w:bCs/>
        </w:rPr>
        <w:t>key tasks and skills</w:t>
      </w:r>
      <w:r w:rsidR="00F175C3">
        <w:t xml:space="preserve"> required to consult like a GP</w:t>
      </w:r>
      <w:r w:rsidR="003B0D3A">
        <w:t>.</w:t>
      </w:r>
    </w:p>
    <w:p w14:paraId="4D9B4B3B" w14:textId="77777777" w:rsidR="003F5EB2" w:rsidRPr="00F724B5" w:rsidRDefault="003F5EB2" w:rsidP="003F5EB2">
      <w:pPr>
        <w:pStyle w:val="Heading1"/>
        <w:rPr>
          <w:rStyle w:val="Emphasis"/>
          <w:i/>
          <w:iCs w:val="0"/>
        </w:rPr>
      </w:pPr>
      <w:r w:rsidRPr="00F724B5">
        <w:rPr>
          <w:rStyle w:val="Emphasis"/>
          <w:i/>
          <w:iCs w:val="0"/>
        </w:rPr>
        <w:lastRenderedPageBreak/>
        <w:t>Encourage feedback</w:t>
      </w:r>
    </w:p>
    <w:p w14:paraId="59A1F4FE" w14:textId="543A3C15" w:rsidR="003F5EB2" w:rsidRDefault="003F5EB2" w:rsidP="003F5EB2">
      <w:r>
        <w:t>You should actively seek feedback from patients and colleagues and use their advice to develop your consultatio</w:t>
      </w:r>
      <w:r w:rsidR="00F175C3">
        <w:t xml:space="preserve">n. Using the </w:t>
      </w:r>
      <w:r w:rsidR="003B0D3A">
        <w:rPr>
          <w:b/>
          <w:bCs/>
          <w:color w:val="000000" w:themeColor="text1"/>
        </w:rPr>
        <w:t xml:space="preserve">Consultation </w:t>
      </w:r>
      <w:r w:rsidR="00F175C3" w:rsidRPr="003B0D3A">
        <w:rPr>
          <w:b/>
          <w:bCs/>
          <w:color w:val="000000" w:themeColor="text1"/>
        </w:rPr>
        <w:t>Overview</w:t>
      </w:r>
      <w:r w:rsidR="00F175C3" w:rsidRPr="003B0D3A">
        <w:rPr>
          <w:color w:val="000000" w:themeColor="text1"/>
        </w:rPr>
        <w:t xml:space="preserve"> </w:t>
      </w:r>
      <w:r w:rsidR="00F175C3">
        <w:t xml:space="preserve">and </w:t>
      </w:r>
      <w:r w:rsidR="003B0D3A" w:rsidRPr="003B0D3A">
        <w:rPr>
          <w:b/>
          <w:bCs/>
          <w:color w:val="000000" w:themeColor="text1"/>
        </w:rPr>
        <w:t>Consultation Tool</w:t>
      </w:r>
      <w:r w:rsidR="00F175C3" w:rsidRPr="003B0D3A">
        <w:rPr>
          <w:color w:val="000000" w:themeColor="text1"/>
        </w:rPr>
        <w:t xml:space="preserve"> </w:t>
      </w:r>
      <w:r w:rsidR="00F175C3">
        <w:t>to self</w:t>
      </w:r>
      <w:r w:rsidR="00335805">
        <w:t>-</w:t>
      </w:r>
      <w:r w:rsidR="00F175C3">
        <w:t xml:space="preserve">assess is a good starting point. </w:t>
      </w:r>
    </w:p>
    <w:p w14:paraId="354096F4" w14:textId="77777777" w:rsidR="003F5EB2" w:rsidRPr="00F724B5" w:rsidRDefault="003F5EB2" w:rsidP="003F5EB2">
      <w:pPr>
        <w:pStyle w:val="Heading1"/>
        <w:rPr>
          <w:rStyle w:val="Emphasis"/>
          <w:i/>
          <w:iCs w:val="0"/>
        </w:rPr>
      </w:pPr>
      <w:r w:rsidRPr="00F724B5">
        <w:rPr>
          <w:rStyle w:val="Emphasis"/>
          <w:i/>
          <w:iCs w:val="0"/>
        </w:rPr>
        <w:t>Patient Unmet Need and Doctor Educational Need</w:t>
      </w:r>
    </w:p>
    <w:p w14:paraId="09EBF0F3" w14:textId="71A4F9D8" w:rsidR="003F5EB2" w:rsidRDefault="003F5EB2" w:rsidP="003F5EB2">
      <w:r>
        <w:t xml:space="preserve">Remember that day-to-day, in whatever post you are doing, you will come across PUNs and DENs (Patient Unmet Need and Doctor Educational Need) – never leave these.  Whenever you </w:t>
      </w:r>
      <w:proofErr w:type="spellStart"/>
      <w:r>
        <w:t>realise</w:t>
      </w:r>
      <w:proofErr w:type="spellEnd"/>
      <w:r>
        <w:t xml:space="preserve"> a gap in your knowledge and understanding, address it quickly – don’t leave it or you will forget about it and the next time you encounter it might be in a case that would be ideal for the RCA!</w:t>
      </w:r>
      <w:r w:rsidR="00F175C3">
        <w:t xml:space="preserve"> Use </w:t>
      </w:r>
      <w:r w:rsidR="00F175C3" w:rsidRPr="00D537E2">
        <w:rPr>
          <w:b/>
          <w:bCs/>
        </w:rPr>
        <w:t>the Fourteen</w:t>
      </w:r>
      <w:r w:rsidR="009F5105" w:rsidRPr="00D537E2">
        <w:rPr>
          <w:b/>
          <w:bCs/>
        </w:rPr>
        <w:t xml:space="preserve"> </w:t>
      </w:r>
      <w:r w:rsidR="00F175C3" w:rsidRPr="00D537E2">
        <w:rPr>
          <w:b/>
          <w:bCs/>
        </w:rPr>
        <w:t xml:space="preserve">Fish </w:t>
      </w:r>
      <w:r w:rsidR="003B0D3A">
        <w:rPr>
          <w:b/>
          <w:bCs/>
        </w:rPr>
        <w:t xml:space="preserve">RCA </w:t>
      </w:r>
      <w:r w:rsidR="004F2A72">
        <w:rPr>
          <w:b/>
          <w:bCs/>
        </w:rPr>
        <w:t xml:space="preserve">Plus </w:t>
      </w:r>
      <w:r w:rsidR="003B0D3A">
        <w:rPr>
          <w:b/>
          <w:bCs/>
        </w:rPr>
        <w:t xml:space="preserve">package and AKT package </w:t>
      </w:r>
      <w:r w:rsidR="00F175C3">
        <w:t xml:space="preserve">as excellent </w:t>
      </w:r>
      <w:r w:rsidR="003B0D3A">
        <w:t>resources</w:t>
      </w:r>
      <w:r w:rsidR="00F175C3">
        <w:t xml:space="preserve"> of </w:t>
      </w:r>
      <w:proofErr w:type="gramStart"/>
      <w:r w:rsidR="00F175C3">
        <w:t>up to date</w:t>
      </w:r>
      <w:proofErr w:type="gramEnd"/>
      <w:r w:rsidR="00F175C3">
        <w:t xml:space="preserve"> videos on over 50 topics. You have free access to this</w:t>
      </w:r>
      <w:r w:rsidR="003B0D3A">
        <w:t xml:space="preserve"> (reimbursed through study leave)</w:t>
      </w:r>
      <w:r w:rsidR="00F175C3">
        <w:t>.</w:t>
      </w:r>
    </w:p>
    <w:p w14:paraId="3B8759BE" w14:textId="77777777" w:rsidR="003F5EB2" w:rsidRPr="00F724B5" w:rsidRDefault="003F5EB2" w:rsidP="003F5EB2">
      <w:pPr>
        <w:pStyle w:val="Heading1"/>
        <w:rPr>
          <w:i/>
          <w:iCs/>
          <w:bdr w:val="single" w:sz="18" w:space="0" w:color="DDF0F2" w:themeColor="accent2" w:themeTint="33"/>
          <w:shd w:val="clear" w:color="auto" w:fill="DDF0F2" w:themeFill="accent2" w:themeFillTint="33"/>
        </w:rPr>
      </w:pPr>
      <w:r w:rsidRPr="00F724B5">
        <w:rPr>
          <w:rStyle w:val="Emphasis"/>
          <w:i/>
          <w:iCs w:val="0"/>
        </w:rPr>
        <w:t>Video your consultations</w:t>
      </w:r>
    </w:p>
    <w:p w14:paraId="01EE62FA" w14:textId="4C59564D" w:rsidR="00F175C3" w:rsidRDefault="003F5EB2" w:rsidP="003F5EB2">
      <w:r>
        <w:t xml:space="preserve">Get into the habit of videoing at least one of your surgeries every week (your supervisor will show you the procedure for this).  Take time to watch the consultations you have videoed and </w:t>
      </w:r>
      <w:proofErr w:type="spellStart"/>
      <w:r>
        <w:t>analyse</w:t>
      </w:r>
      <w:proofErr w:type="spellEnd"/>
      <w:r>
        <w:t xml:space="preserve"> yourself and the patient’s reaction to you</w:t>
      </w:r>
      <w:r w:rsidR="00F175C3">
        <w:t>.</w:t>
      </w:r>
      <w:r w:rsidR="00527CC9">
        <w:t xml:space="preserve">  </w:t>
      </w:r>
      <w:r w:rsidR="00F175C3">
        <w:t xml:space="preserve">Use the </w:t>
      </w:r>
      <w:r w:rsidR="003B0D3A" w:rsidRPr="003B0D3A">
        <w:rPr>
          <w:b/>
          <w:bCs/>
          <w:color w:val="000000" w:themeColor="text1"/>
        </w:rPr>
        <w:t>Consultation</w:t>
      </w:r>
      <w:r w:rsidR="00F175C3" w:rsidRPr="003B0D3A">
        <w:rPr>
          <w:b/>
          <w:bCs/>
          <w:color w:val="000000" w:themeColor="text1"/>
        </w:rPr>
        <w:t xml:space="preserve"> Overview</w:t>
      </w:r>
      <w:r w:rsidR="00F175C3" w:rsidRPr="003B0D3A">
        <w:rPr>
          <w:color w:val="000000" w:themeColor="text1"/>
        </w:rPr>
        <w:t xml:space="preserve"> </w:t>
      </w:r>
      <w:r w:rsidR="00F175C3">
        <w:t xml:space="preserve">and </w:t>
      </w:r>
      <w:r w:rsidR="003B0D3A" w:rsidRPr="003B0D3A">
        <w:rPr>
          <w:b/>
          <w:bCs/>
          <w:color w:val="000000" w:themeColor="text1"/>
        </w:rPr>
        <w:t>Consultation Tool</w:t>
      </w:r>
      <w:r w:rsidR="00F175C3" w:rsidRPr="003B0D3A">
        <w:rPr>
          <w:color w:val="000000" w:themeColor="text1"/>
        </w:rPr>
        <w:t xml:space="preserve"> </w:t>
      </w:r>
      <w:r w:rsidR="00F175C3">
        <w:t>for more detail.</w:t>
      </w:r>
      <w:r>
        <w:t xml:space="preserve"> Consider alternative and better ways of consulting </w:t>
      </w:r>
      <w:r w:rsidR="00F175C3">
        <w:t xml:space="preserve">(you can check the </w:t>
      </w:r>
      <w:proofErr w:type="gramStart"/>
      <w:r w:rsidR="003B0D3A" w:rsidRPr="003B0D3A">
        <w:rPr>
          <w:b/>
          <w:bCs/>
          <w:color w:val="000000" w:themeColor="text1"/>
        </w:rPr>
        <w:t>North West</w:t>
      </w:r>
      <w:proofErr w:type="gramEnd"/>
      <w:r w:rsidR="003B0D3A" w:rsidRPr="003B0D3A">
        <w:rPr>
          <w:b/>
          <w:bCs/>
          <w:color w:val="000000" w:themeColor="text1"/>
        </w:rPr>
        <w:t xml:space="preserve"> England Consultation Toolkit</w:t>
      </w:r>
      <w:r w:rsidR="00F175C3" w:rsidRPr="00DC1697">
        <w:rPr>
          <w:color w:val="941651"/>
        </w:rPr>
        <w:t xml:space="preserve"> </w:t>
      </w:r>
      <w:r w:rsidR="00F175C3">
        <w:t xml:space="preserve">for a variety of different methods) </w:t>
      </w:r>
      <w:r>
        <w:t xml:space="preserve">and try these out day-to-day.  </w:t>
      </w:r>
    </w:p>
    <w:p w14:paraId="2B7944EB" w14:textId="77777777" w:rsidR="003F5EB2" w:rsidRPr="00F724B5" w:rsidRDefault="003F5EB2" w:rsidP="003F5EB2">
      <w:pPr>
        <w:pStyle w:val="Heading1"/>
        <w:rPr>
          <w:rStyle w:val="Emphasis"/>
          <w:i/>
          <w:iCs w:val="0"/>
        </w:rPr>
      </w:pPr>
      <w:r w:rsidRPr="00F724B5">
        <w:rPr>
          <w:rStyle w:val="Emphasis"/>
          <w:i/>
          <w:iCs w:val="0"/>
        </w:rPr>
        <w:t>Reflect on each consultation</w:t>
      </w:r>
    </w:p>
    <w:p w14:paraId="1AADC999" w14:textId="7CD3C015" w:rsidR="00CE4B13" w:rsidRPr="00F724B5" w:rsidRDefault="003F5EB2">
      <w:pPr>
        <w:pStyle w:val="ListBullet"/>
        <w:numPr>
          <w:ilvl w:val="0"/>
          <w:numId w:val="0"/>
        </w:numPr>
        <w:rPr>
          <w:b/>
          <w:bCs/>
        </w:rPr>
      </w:pPr>
      <w:r>
        <w:t>Reflect after every consultation and consider how you might improve</w:t>
      </w:r>
      <w:r w:rsidR="00D07B3D">
        <w:t>. This</w:t>
      </w:r>
      <w:r>
        <w:t xml:space="preserve"> will allow you to make progress</w:t>
      </w:r>
      <w:r w:rsidR="00D07B3D">
        <w:t xml:space="preserve"> and y</w:t>
      </w:r>
      <w:r>
        <w:t xml:space="preserve">ou will soon </w:t>
      </w:r>
      <w:proofErr w:type="spellStart"/>
      <w:r>
        <w:t>realise</w:t>
      </w:r>
      <w:proofErr w:type="spellEnd"/>
      <w:r>
        <w:t xml:space="preserve"> that every patient is different - you need to have lots of tools in your </w:t>
      </w:r>
      <w:proofErr w:type="spellStart"/>
      <w:r>
        <w:t>armoury</w:t>
      </w:r>
      <w:proofErr w:type="spellEnd"/>
      <w:r>
        <w:t xml:space="preserve"> to adapt your consultation for each one of them, whilst maintaining a professional approach.   </w:t>
      </w:r>
    </w:p>
    <w:p w14:paraId="5CDC33C4" w14:textId="77777777" w:rsidR="00130BBB" w:rsidRDefault="00130BBB" w:rsidP="00C300F5">
      <w:pPr>
        <w:pStyle w:val="Heading1"/>
        <w:pBdr>
          <w:top w:val="single" w:sz="24" w:space="1" w:color="262626" w:themeColor="text1" w:themeTint="D9"/>
        </w:pBdr>
      </w:pPr>
      <w:r>
        <w:t>Analysis of Consultations</w:t>
      </w:r>
    </w:p>
    <w:p w14:paraId="06BADE3E" w14:textId="627CF005" w:rsidR="00130BBB" w:rsidRDefault="00130BBB" w:rsidP="00BA5D97">
      <w:pPr>
        <w:pStyle w:val="ListBullet"/>
        <w:numPr>
          <w:ilvl w:val="0"/>
          <w:numId w:val="0"/>
        </w:numPr>
        <w:ind w:left="216"/>
      </w:pPr>
      <w:r>
        <w:t xml:space="preserve">The RCGP have published </w:t>
      </w:r>
      <w:r w:rsidR="00E82136">
        <w:t>a marking scheme that will be used to mark the consultation:</w:t>
      </w:r>
    </w:p>
    <w:p w14:paraId="43B570F7" w14:textId="719A70EF" w:rsidR="00E82136" w:rsidRPr="009271DE" w:rsidRDefault="00E82136" w:rsidP="009271DE">
      <w:pPr>
        <w:pStyle w:val="ListParagraph"/>
        <w:numPr>
          <w:ilvl w:val="0"/>
          <w:numId w:val="25"/>
        </w:numPr>
        <w:spacing w:after="0" w:line="240" w:lineRule="auto"/>
        <w:rPr>
          <w:rFonts w:ascii="Arial" w:eastAsia="Times New Roman" w:hAnsi="Arial" w:cs="Arial"/>
          <w:b/>
          <w:bCs/>
          <w:color w:val="515A63"/>
          <w:sz w:val="21"/>
          <w:szCs w:val="21"/>
          <w:u w:val="single"/>
          <w:lang w:val="en-GB" w:eastAsia="en-GB"/>
        </w:rPr>
      </w:pPr>
      <w:r w:rsidRPr="009271DE">
        <w:rPr>
          <w:rFonts w:ascii="Arial" w:eastAsia="Times New Roman" w:hAnsi="Arial" w:cs="Arial"/>
          <w:b/>
          <w:bCs/>
          <w:color w:val="515A63"/>
          <w:sz w:val="21"/>
          <w:szCs w:val="21"/>
          <w:u w:val="single"/>
          <w:lang w:val="en-GB" w:eastAsia="en-GB"/>
        </w:rPr>
        <w:t>Data Gathering, Technical and Assessment Skills</w:t>
      </w:r>
    </w:p>
    <w:p w14:paraId="3F105BB1" w14:textId="77777777" w:rsidR="00E82136" w:rsidRPr="009271DE" w:rsidRDefault="00E82136" w:rsidP="009271DE">
      <w:pPr>
        <w:spacing w:after="0" w:line="240" w:lineRule="auto"/>
        <w:ind w:left="360"/>
        <w:rPr>
          <w:rFonts w:ascii="Arial" w:eastAsia="Times New Roman" w:hAnsi="Arial" w:cs="Arial"/>
          <w:color w:val="515A63"/>
          <w:sz w:val="21"/>
          <w:szCs w:val="21"/>
          <w:lang w:val="en-GB" w:eastAsia="en-GB"/>
        </w:rPr>
      </w:pPr>
    </w:p>
    <w:p w14:paraId="22BB7BD0"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Takes a focussed history to allow for a safe assessment to take place</w:t>
      </w:r>
    </w:p>
    <w:p w14:paraId="0D89AA5D"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Elicits and develops relevant new information</w:t>
      </w:r>
    </w:p>
    <w:p w14:paraId="7559766B"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Rules in or out serious or significant disease</w:t>
      </w:r>
    </w:p>
    <w:p w14:paraId="0420CF66"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Considers and/or generates any appropriate diagnostic hypotheses</w:t>
      </w:r>
    </w:p>
    <w:p w14:paraId="79C13E83"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Explores where appropriate the impact and psychosocial context of the presenting problem</w:t>
      </w:r>
    </w:p>
    <w:p w14:paraId="05882C38"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Plans, explains and where possible, performs appropriate physical/mental examinations and tests</w:t>
      </w:r>
    </w:p>
    <w:p w14:paraId="541500F0" w14:textId="383AAD71" w:rsid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Appears to recognise the issues or priorities in the consultation</w:t>
      </w:r>
    </w:p>
    <w:p w14:paraId="3E1CAC9B" w14:textId="77777777" w:rsidR="00E82136" w:rsidRPr="00E82136" w:rsidRDefault="00E82136" w:rsidP="009271DE">
      <w:pPr>
        <w:spacing w:after="0" w:line="240" w:lineRule="auto"/>
        <w:ind w:left="330"/>
        <w:rPr>
          <w:rFonts w:ascii="Arial" w:eastAsia="Times New Roman" w:hAnsi="Arial" w:cs="Arial"/>
          <w:color w:val="515A63"/>
          <w:sz w:val="21"/>
          <w:szCs w:val="21"/>
          <w:lang w:val="en-GB" w:eastAsia="en-GB"/>
        </w:rPr>
      </w:pPr>
    </w:p>
    <w:p w14:paraId="44D1D18D" w14:textId="2C57917F" w:rsidR="00E82136" w:rsidRPr="009271DE" w:rsidRDefault="00E82136" w:rsidP="009271DE">
      <w:pPr>
        <w:pStyle w:val="ListParagraph"/>
        <w:numPr>
          <w:ilvl w:val="0"/>
          <w:numId w:val="25"/>
        </w:numPr>
        <w:spacing w:after="0" w:line="240" w:lineRule="auto"/>
        <w:rPr>
          <w:rFonts w:ascii="Arial" w:eastAsia="Times New Roman" w:hAnsi="Arial" w:cs="Arial"/>
          <w:b/>
          <w:bCs/>
          <w:color w:val="515A63"/>
          <w:sz w:val="21"/>
          <w:szCs w:val="21"/>
          <w:lang w:val="en-GB" w:eastAsia="en-GB"/>
        </w:rPr>
      </w:pPr>
      <w:r w:rsidRPr="009271DE">
        <w:rPr>
          <w:rFonts w:ascii="Arial" w:eastAsia="Times New Roman" w:hAnsi="Arial" w:cs="Arial"/>
          <w:b/>
          <w:bCs/>
          <w:color w:val="515A63"/>
          <w:sz w:val="21"/>
          <w:szCs w:val="21"/>
          <w:lang w:val="en-GB" w:eastAsia="en-GB"/>
        </w:rPr>
        <w:t>Decision Making and Clinical Management Skills</w:t>
      </w:r>
    </w:p>
    <w:p w14:paraId="04AE4346" w14:textId="77777777" w:rsidR="00E82136" w:rsidRPr="009271DE" w:rsidRDefault="00E82136" w:rsidP="009271DE">
      <w:pPr>
        <w:pStyle w:val="ListParagraph"/>
        <w:spacing w:after="0" w:line="240" w:lineRule="auto"/>
        <w:ind w:left="2160"/>
        <w:rPr>
          <w:rFonts w:ascii="Arial" w:eastAsia="Times New Roman" w:hAnsi="Arial" w:cs="Arial"/>
          <w:color w:val="515A63"/>
          <w:sz w:val="21"/>
          <w:szCs w:val="21"/>
          <w:lang w:val="en-GB" w:eastAsia="en-GB"/>
        </w:rPr>
      </w:pPr>
    </w:p>
    <w:p w14:paraId="4060EA4F" w14:textId="77777777" w:rsidR="00E82136" w:rsidRPr="00E82136" w:rsidRDefault="00E82136" w:rsidP="00E82136">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Appears to make a safe and appropriate working diagnosis/es</w:t>
      </w:r>
    </w:p>
    <w:p w14:paraId="6109BB9A" w14:textId="77777777" w:rsidR="00E82136" w:rsidRPr="00E82136" w:rsidRDefault="00E82136" w:rsidP="00E82136">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Offers appropriate and safe management options for the presenting problem</w:t>
      </w:r>
    </w:p>
    <w:p w14:paraId="4D6EFA28" w14:textId="77777777" w:rsidR="00E82136" w:rsidRPr="00E82136" w:rsidRDefault="00E82136" w:rsidP="00E82136">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lastRenderedPageBreak/>
        <w:t>Where possible, makes evidence-based decisions re prescribing, referral and co-ordinating care with other health care professionals</w:t>
      </w:r>
    </w:p>
    <w:p w14:paraId="357FA9FF" w14:textId="77777777" w:rsidR="00E82136" w:rsidRPr="00E82136" w:rsidRDefault="00E82136" w:rsidP="00E82136">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Makes appropriate use of time and resources whilst attending to risks</w:t>
      </w:r>
    </w:p>
    <w:p w14:paraId="7DA970D4" w14:textId="6D169E02" w:rsidR="00E82136" w:rsidRDefault="00E82136" w:rsidP="00E82136">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Provides safety netting and follow up instructions appropriate to the nature of the consultation</w:t>
      </w:r>
    </w:p>
    <w:p w14:paraId="17B89B8E" w14:textId="77777777" w:rsidR="00E82136" w:rsidRPr="00E82136" w:rsidRDefault="00E82136" w:rsidP="009271DE">
      <w:pPr>
        <w:spacing w:after="0" w:line="240" w:lineRule="auto"/>
        <w:ind w:left="330"/>
        <w:rPr>
          <w:rFonts w:ascii="Arial" w:eastAsia="Times New Roman" w:hAnsi="Arial" w:cs="Arial"/>
          <w:color w:val="515A63"/>
          <w:sz w:val="21"/>
          <w:szCs w:val="21"/>
          <w:lang w:val="en-GB" w:eastAsia="en-GB"/>
        </w:rPr>
      </w:pPr>
    </w:p>
    <w:p w14:paraId="685A6302" w14:textId="46032C4E" w:rsidR="00E82136" w:rsidRPr="009271DE" w:rsidRDefault="00E82136" w:rsidP="009271DE">
      <w:pPr>
        <w:pStyle w:val="ListParagraph"/>
        <w:numPr>
          <w:ilvl w:val="0"/>
          <w:numId w:val="25"/>
        </w:numPr>
        <w:spacing w:after="0" w:line="240" w:lineRule="auto"/>
        <w:rPr>
          <w:rFonts w:ascii="Arial" w:eastAsia="Times New Roman" w:hAnsi="Arial" w:cs="Arial"/>
          <w:b/>
          <w:bCs/>
          <w:color w:val="515A63"/>
          <w:sz w:val="21"/>
          <w:szCs w:val="21"/>
          <w:u w:val="single"/>
          <w:lang w:val="en-GB" w:eastAsia="en-GB"/>
        </w:rPr>
      </w:pPr>
      <w:r w:rsidRPr="009271DE">
        <w:rPr>
          <w:rFonts w:ascii="Arial" w:eastAsia="Times New Roman" w:hAnsi="Arial" w:cs="Arial"/>
          <w:b/>
          <w:bCs/>
          <w:color w:val="515A63"/>
          <w:sz w:val="21"/>
          <w:szCs w:val="21"/>
          <w:u w:val="single"/>
          <w:lang w:val="en-GB" w:eastAsia="en-GB"/>
        </w:rPr>
        <w:t>Interpersonal Skills </w:t>
      </w:r>
    </w:p>
    <w:p w14:paraId="5C47B54D" w14:textId="77777777" w:rsidR="00E82136" w:rsidRPr="009271DE" w:rsidRDefault="00E82136" w:rsidP="009271DE">
      <w:pPr>
        <w:pStyle w:val="ListParagraph"/>
        <w:spacing w:after="0" w:line="240" w:lineRule="auto"/>
        <w:ind w:left="1080"/>
        <w:rPr>
          <w:rFonts w:ascii="Arial" w:eastAsia="Times New Roman" w:hAnsi="Arial" w:cs="Arial"/>
          <w:color w:val="515A63"/>
          <w:sz w:val="21"/>
          <w:szCs w:val="21"/>
          <w:lang w:val="en-GB" w:eastAsia="en-GB"/>
        </w:rPr>
      </w:pPr>
    </w:p>
    <w:p w14:paraId="6E953670"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Encourages the patient's contribution, identifying and responding to cues appropriate to the consultation</w:t>
      </w:r>
    </w:p>
    <w:p w14:paraId="6D566A69"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Explores where appropriate, patient’s agenda, health beliefs &amp; preferences</w:t>
      </w:r>
    </w:p>
    <w:p w14:paraId="273D2493"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Offers the opportunity to be involved in significant management decisions reaching a shared understanding</w:t>
      </w:r>
    </w:p>
    <w:p w14:paraId="6FB0DA90"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When undertaken, explains and conducts examinations with sensitivity and obtains valid consent</w:t>
      </w:r>
    </w:p>
    <w:p w14:paraId="6EBDCB3C"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 xml:space="preserve">Provides explanations that are relevant, </w:t>
      </w:r>
      <w:proofErr w:type="gramStart"/>
      <w:r w:rsidRPr="00E82136">
        <w:rPr>
          <w:rFonts w:ascii="Arial" w:eastAsia="Times New Roman" w:hAnsi="Arial" w:cs="Arial"/>
          <w:color w:val="515A63"/>
          <w:sz w:val="21"/>
          <w:szCs w:val="21"/>
          <w:lang w:val="en-GB" w:eastAsia="en-GB"/>
        </w:rPr>
        <w:t>necessary</w:t>
      </w:r>
      <w:proofErr w:type="gramEnd"/>
      <w:r w:rsidRPr="00E82136">
        <w:rPr>
          <w:rFonts w:ascii="Arial" w:eastAsia="Times New Roman" w:hAnsi="Arial" w:cs="Arial"/>
          <w:color w:val="515A63"/>
          <w:sz w:val="21"/>
          <w:szCs w:val="21"/>
          <w:lang w:val="en-GB" w:eastAsia="en-GB"/>
        </w:rPr>
        <w:t xml:space="preserve"> and understandable to the patient</w:t>
      </w:r>
    </w:p>
    <w:p w14:paraId="3C820C20" w14:textId="55C25D2E" w:rsidR="00E82136" w:rsidRDefault="00E82136">
      <w:pPr>
        <w:pStyle w:val="ListBullet"/>
        <w:numPr>
          <w:ilvl w:val="0"/>
          <w:numId w:val="0"/>
        </w:numPr>
      </w:pPr>
    </w:p>
    <w:p w14:paraId="1C7D830F" w14:textId="7D84F6A8" w:rsidR="004C4196" w:rsidRPr="004C4196" w:rsidRDefault="004C4196">
      <w:pPr>
        <w:pStyle w:val="ListBullet"/>
        <w:numPr>
          <w:ilvl w:val="0"/>
          <w:numId w:val="0"/>
        </w:numPr>
        <w:rPr>
          <w:b/>
          <w:bCs/>
          <w:color w:val="C00000"/>
        </w:rPr>
      </w:pPr>
      <w:r w:rsidRPr="004C4196">
        <w:rPr>
          <w:b/>
          <w:bCs/>
          <w:color w:val="C00000"/>
        </w:rPr>
        <w:t xml:space="preserve">Ensure that all 3 domains can be assessed and there is sufficient evidence in all 3 domains within the </w:t>
      </w:r>
      <w:proofErr w:type="gramStart"/>
      <w:r w:rsidRPr="004C4196">
        <w:rPr>
          <w:b/>
          <w:bCs/>
          <w:color w:val="C00000"/>
        </w:rPr>
        <w:t>1</w:t>
      </w:r>
      <w:r w:rsidR="00B4455E">
        <w:rPr>
          <w:b/>
          <w:bCs/>
          <w:color w:val="C00000"/>
        </w:rPr>
        <w:t>2</w:t>
      </w:r>
      <w:r w:rsidRPr="004C4196">
        <w:rPr>
          <w:b/>
          <w:bCs/>
          <w:color w:val="C00000"/>
        </w:rPr>
        <w:t xml:space="preserve"> minute</w:t>
      </w:r>
      <w:proofErr w:type="gramEnd"/>
      <w:r w:rsidRPr="004C4196">
        <w:rPr>
          <w:b/>
          <w:bCs/>
          <w:color w:val="C00000"/>
        </w:rPr>
        <w:t xml:space="preserve"> time frame.</w:t>
      </w:r>
    </w:p>
    <w:p w14:paraId="5DAAC0AF" w14:textId="1495E704" w:rsidR="00CE4B13" w:rsidRDefault="00A0559E">
      <w:pPr>
        <w:pStyle w:val="ListBullet"/>
        <w:numPr>
          <w:ilvl w:val="0"/>
          <w:numId w:val="0"/>
        </w:numPr>
      </w:pPr>
      <w:r w:rsidRPr="00F724B5">
        <w:rPr>
          <w:b/>
          <w:bCs/>
        </w:rPr>
        <w:t>Th</w:t>
      </w:r>
      <w:r w:rsidR="00F724B5" w:rsidRPr="00F724B5">
        <w:rPr>
          <w:b/>
          <w:bCs/>
        </w:rPr>
        <w:t xml:space="preserve">e RCGP marking scheme </w:t>
      </w:r>
      <w:r w:rsidRPr="00F724B5">
        <w:rPr>
          <w:b/>
          <w:bCs/>
        </w:rPr>
        <w:t>is c</w:t>
      </w:r>
      <w:r w:rsidR="00594860" w:rsidRPr="00F724B5">
        <w:rPr>
          <w:b/>
          <w:bCs/>
        </w:rPr>
        <w:t>losely</w:t>
      </w:r>
      <w:r w:rsidR="0090127B" w:rsidRPr="00F724B5">
        <w:rPr>
          <w:b/>
          <w:bCs/>
        </w:rPr>
        <w:t xml:space="preserve"> </w:t>
      </w:r>
      <w:r w:rsidR="00D07B3D">
        <w:rPr>
          <w:b/>
          <w:bCs/>
        </w:rPr>
        <w:t xml:space="preserve">mapped to </w:t>
      </w:r>
      <w:r w:rsidR="00130BBB" w:rsidRPr="00F724B5">
        <w:rPr>
          <w:b/>
          <w:bCs/>
        </w:rPr>
        <w:t xml:space="preserve">the </w:t>
      </w:r>
      <w:r w:rsidR="00825BEA">
        <w:rPr>
          <w:b/>
          <w:bCs/>
          <w:color w:val="C00000"/>
        </w:rPr>
        <w:t>Consultation Tool</w:t>
      </w:r>
      <w:r w:rsidR="00E41729" w:rsidRPr="00DC1697">
        <w:rPr>
          <w:b/>
          <w:bCs/>
          <w:color w:val="C00000"/>
        </w:rPr>
        <w:t xml:space="preserve"> </w:t>
      </w:r>
      <w:r w:rsidR="00130BBB" w:rsidRPr="00F724B5">
        <w:rPr>
          <w:b/>
          <w:bCs/>
        </w:rPr>
        <w:t xml:space="preserve">(Red/Amber/Green) </w:t>
      </w:r>
      <w:r w:rsidR="0090127B" w:rsidRPr="00F724B5">
        <w:rPr>
          <w:b/>
          <w:bCs/>
        </w:rPr>
        <w:t xml:space="preserve">and resources </w:t>
      </w:r>
      <w:r w:rsidR="00130BBB" w:rsidRPr="00F724B5">
        <w:rPr>
          <w:b/>
          <w:bCs/>
        </w:rPr>
        <w:t xml:space="preserve">written by </w:t>
      </w:r>
      <w:r w:rsidR="00825BEA">
        <w:rPr>
          <w:b/>
          <w:bCs/>
        </w:rPr>
        <w:t>RC</w:t>
      </w:r>
      <w:r w:rsidR="00130BBB" w:rsidRPr="00F724B5">
        <w:rPr>
          <w:b/>
          <w:bCs/>
        </w:rPr>
        <w:t>A examiners on our</w:t>
      </w:r>
      <w:r w:rsidR="00D07B3D">
        <w:rPr>
          <w:b/>
          <w:bCs/>
        </w:rPr>
        <w:t xml:space="preserve"> </w:t>
      </w:r>
      <w:proofErr w:type="gramStart"/>
      <w:r w:rsidR="00D07B3D" w:rsidRPr="00825BEA">
        <w:rPr>
          <w:b/>
          <w:bCs/>
          <w:color w:val="C00000"/>
        </w:rPr>
        <w:t>N</w:t>
      </w:r>
      <w:r w:rsidR="00527CC9" w:rsidRPr="00825BEA">
        <w:rPr>
          <w:b/>
          <w:bCs/>
          <w:color w:val="C00000"/>
        </w:rPr>
        <w:t xml:space="preserve">orth </w:t>
      </w:r>
      <w:r w:rsidR="00D07B3D" w:rsidRPr="00825BEA">
        <w:rPr>
          <w:b/>
          <w:bCs/>
          <w:color w:val="C00000"/>
        </w:rPr>
        <w:t>W</w:t>
      </w:r>
      <w:r w:rsidR="00527CC9" w:rsidRPr="00825BEA">
        <w:rPr>
          <w:b/>
          <w:bCs/>
          <w:color w:val="C00000"/>
        </w:rPr>
        <w:t>est</w:t>
      </w:r>
      <w:proofErr w:type="gramEnd"/>
      <w:r w:rsidR="00130BBB" w:rsidRPr="00825BEA">
        <w:rPr>
          <w:b/>
          <w:bCs/>
          <w:color w:val="C00000"/>
        </w:rPr>
        <w:t xml:space="preserve"> </w:t>
      </w:r>
      <w:r w:rsidR="00825BEA" w:rsidRPr="00825BEA">
        <w:rPr>
          <w:b/>
          <w:bCs/>
          <w:color w:val="C00000"/>
        </w:rPr>
        <w:t>England Consultation Toolkit</w:t>
      </w:r>
      <w:r w:rsidR="00130BBB" w:rsidRPr="00825BEA">
        <w:rPr>
          <w:b/>
          <w:bCs/>
          <w:color w:val="C00000"/>
        </w:rPr>
        <w:t xml:space="preserve"> </w:t>
      </w:r>
      <w:r w:rsidR="00130BBB" w:rsidRPr="00F724B5">
        <w:rPr>
          <w:b/>
          <w:bCs/>
        </w:rPr>
        <w:t>site on Fourteen Fish</w:t>
      </w:r>
      <w:r w:rsidR="0090127B" w:rsidRPr="00F724B5">
        <w:rPr>
          <w:b/>
          <w:bCs/>
        </w:rPr>
        <w:t xml:space="preserve">.  </w:t>
      </w:r>
    </w:p>
    <w:p w14:paraId="7CA3443D" w14:textId="719BCF49" w:rsidR="00A605F4" w:rsidRDefault="00A605F4" w:rsidP="00A605F4">
      <w:pPr>
        <w:pStyle w:val="Heading1"/>
        <w:pBdr>
          <w:top w:val="single" w:sz="24" w:space="1" w:color="262626" w:themeColor="text1" w:themeTint="D9"/>
        </w:pBdr>
      </w:pPr>
      <w:r>
        <w:t>Learning how to accurately self-analyse your own consultation – become your own RCA examiner</w:t>
      </w:r>
      <w:r w:rsidR="00F724B5">
        <w:t>!</w:t>
      </w:r>
    </w:p>
    <w:p w14:paraId="4ED76C81" w14:textId="2229854E" w:rsidR="008A1630" w:rsidRPr="006C0D15" w:rsidRDefault="009F5105" w:rsidP="008A1630">
      <w:pPr>
        <w:rPr>
          <w:b/>
          <w:bCs/>
          <w:sz w:val="24"/>
          <w:szCs w:val="24"/>
        </w:rPr>
      </w:pPr>
      <w:proofErr w:type="gramStart"/>
      <w:r w:rsidRPr="006C0D15">
        <w:rPr>
          <w:b/>
          <w:bCs/>
          <w:sz w:val="24"/>
          <w:szCs w:val="24"/>
        </w:rPr>
        <w:t>North West</w:t>
      </w:r>
      <w:proofErr w:type="gramEnd"/>
      <w:r w:rsidRPr="006C0D15">
        <w:rPr>
          <w:b/>
          <w:bCs/>
          <w:sz w:val="24"/>
          <w:szCs w:val="24"/>
        </w:rPr>
        <w:t xml:space="preserve"> </w:t>
      </w:r>
      <w:r w:rsidR="00D07B3D" w:rsidRPr="006C0D15">
        <w:rPr>
          <w:b/>
          <w:bCs/>
          <w:sz w:val="24"/>
          <w:szCs w:val="24"/>
        </w:rPr>
        <w:t>Fourteen</w:t>
      </w:r>
      <w:r w:rsidRPr="006C0D15">
        <w:rPr>
          <w:b/>
          <w:bCs/>
          <w:sz w:val="24"/>
          <w:szCs w:val="24"/>
        </w:rPr>
        <w:t xml:space="preserve"> </w:t>
      </w:r>
      <w:r w:rsidR="00D07B3D" w:rsidRPr="006C0D15">
        <w:rPr>
          <w:b/>
          <w:bCs/>
          <w:sz w:val="24"/>
          <w:szCs w:val="24"/>
        </w:rPr>
        <w:t>Fish</w:t>
      </w:r>
      <w:r w:rsidRPr="006C0D15">
        <w:rPr>
          <w:b/>
          <w:bCs/>
          <w:sz w:val="24"/>
          <w:szCs w:val="24"/>
        </w:rPr>
        <w:t xml:space="preserve"> Preparation Resources</w:t>
      </w:r>
    </w:p>
    <w:p w14:paraId="6206699B" w14:textId="5DD9399A" w:rsidR="00D07B3D" w:rsidRDefault="00D07B3D" w:rsidP="008A1630">
      <w:r>
        <w:t>You have free access</w:t>
      </w:r>
      <w:r w:rsidR="00825BEA">
        <w:t xml:space="preserve"> (reimbursed through study leave)</w:t>
      </w:r>
      <w:r>
        <w:t xml:space="preserve"> to two preparation packages as you are a HEENW Trainee</w:t>
      </w:r>
      <w:r w:rsidR="00D920B7">
        <w:t xml:space="preserve"> </w:t>
      </w:r>
      <w:r>
        <w:t>(these packages otherwise incur a cost)</w:t>
      </w:r>
    </w:p>
    <w:p w14:paraId="27F7C783" w14:textId="5163CE16" w:rsidR="00D07B3D" w:rsidRPr="00D07B3D" w:rsidRDefault="00D07B3D" w:rsidP="008A1630">
      <w:r>
        <w:t>1)</w:t>
      </w:r>
      <w:r w:rsidR="009F5105">
        <w:t xml:space="preserve"> </w:t>
      </w:r>
      <w:r>
        <w:t>‘</w:t>
      </w:r>
      <w:r w:rsidRPr="00527CC9">
        <w:rPr>
          <w:b/>
          <w:bCs/>
        </w:rPr>
        <w:t>Pass the AKT’</w:t>
      </w:r>
      <w:r>
        <w:t xml:space="preserve"> where the Clinical topic Revision Library is hosted</w:t>
      </w:r>
    </w:p>
    <w:p w14:paraId="5D1052F6" w14:textId="404B92A6" w:rsidR="00A605F4" w:rsidRDefault="00D07B3D" w:rsidP="00527CC9">
      <w:r>
        <w:t>2)</w:t>
      </w:r>
      <w:r w:rsidR="009F5105">
        <w:t xml:space="preserve"> </w:t>
      </w:r>
      <w:r w:rsidRPr="00527CC9">
        <w:rPr>
          <w:b/>
          <w:bCs/>
        </w:rPr>
        <w:t>‘</w:t>
      </w:r>
      <w:r w:rsidR="00825BEA">
        <w:rPr>
          <w:b/>
          <w:bCs/>
        </w:rPr>
        <w:t xml:space="preserve">RCA </w:t>
      </w:r>
      <w:proofErr w:type="spellStart"/>
      <w:r w:rsidR="00825BEA">
        <w:rPr>
          <w:b/>
          <w:bCs/>
        </w:rPr>
        <w:t>Plus’</w:t>
      </w:r>
      <w:proofErr w:type="spellEnd"/>
      <w:r w:rsidR="008A1630">
        <w:t xml:space="preserve"> contains lots of useful examiner tips and a wealth of videos to watch to support your preparation</w:t>
      </w:r>
      <w:r w:rsidR="00825BEA">
        <w:t xml:space="preserve"> along with the </w:t>
      </w:r>
      <w:proofErr w:type="gramStart"/>
      <w:r w:rsidR="00825BEA" w:rsidRPr="00825BEA">
        <w:rPr>
          <w:b/>
          <w:bCs/>
        </w:rPr>
        <w:t>North West</w:t>
      </w:r>
      <w:proofErr w:type="gramEnd"/>
      <w:r w:rsidR="00825BEA" w:rsidRPr="00825BEA">
        <w:rPr>
          <w:b/>
          <w:bCs/>
        </w:rPr>
        <w:t xml:space="preserve"> Consultation Toolkit</w:t>
      </w:r>
      <w:r w:rsidR="008A1630" w:rsidRPr="00825BEA">
        <w:rPr>
          <w:b/>
          <w:bCs/>
        </w:rPr>
        <w:t xml:space="preserve">   </w:t>
      </w:r>
    </w:p>
    <w:p w14:paraId="54AF0855" w14:textId="22E07B34" w:rsidR="00A57242" w:rsidRDefault="00A57242" w:rsidP="00A57242">
      <w:r>
        <w:t xml:space="preserve">This </w:t>
      </w:r>
      <w:r w:rsidR="00B84F01">
        <w:t>was</w:t>
      </w:r>
      <w:r>
        <w:t xml:space="preserve"> written by </w:t>
      </w:r>
      <w:proofErr w:type="gramStart"/>
      <w:r w:rsidR="00D07B3D">
        <w:t>N</w:t>
      </w:r>
      <w:r w:rsidR="00527CC9">
        <w:t xml:space="preserve">orth </w:t>
      </w:r>
      <w:r w:rsidR="00D07B3D">
        <w:t>W</w:t>
      </w:r>
      <w:r w:rsidR="00527CC9">
        <w:t>est</w:t>
      </w:r>
      <w:proofErr w:type="gramEnd"/>
      <w:r w:rsidR="00D07B3D">
        <w:t xml:space="preserve"> </w:t>
      </w:r>
      <w:r w:rsidR="00825BEA">
        <w:t>RCA</w:t>
      </w:r>
      <w:r>
        <w:t xml:space="preserve"> examiners and contains a model </w:t>
      </w:r>
      <w:r w:rsidR="00825BEA" w:rsidRPr="00825BEA">
        <w:rPr>
          <w:b/>
          <w:bCs/>
          <w:color w:val="000000" w:themeColor="text1"/>
        </w:rPr>
        <w:t xml:space="preserve">Consultation </w:t>
      </w:r>
      <w:r w:rsidR="00BA5D97" w:rsidRPr="00825BEA">
        <w:rPr>
          <w:b/>
          <w:bCs/>
          <w:color w:val="000000" w:themeColor="text1"/>
        </w:rPr>
        <w:t>O</w:t>
      </w:r>
      <w:r w:rsidRPr="00825BEA">
        <w:rPr>
          <w:b/>
          <w:bCs/>
          <w:color w:val="000000" w:themeColor="text1"/>
        </w:rPr>
        <w:t>verview</w:t>
      </w:r>
      <w:r w:rsidRPr="00825BEA">
        <w:rPr>
          <w:color w:val="000000" w:themeColor="text1"/>
        </w:rPr>
        <w:t xml:space="preserve"> </w:t>
      </w:r>
      <w:r>
        <w:t xml:space="preserve">of the components of a good </w:t>
      </w:r>
      <w:r w:rsidR="00825BEA">
        <w:t>RCA</w:t>
      </w:r>
      <w:r>
        <w:t xml:space="preserve"> consultation.  If you are struggling with a particular aspect of the </w:t>
      </w:r>
      <w:proofErr w:type="gramStart"/>
      <w:r>
        <w:t>consultation</w:t>
      </w:r>
      <w:proofErr w:type="gramEnd"/>
      <w:r>
        <w:t xml:space="preserve"> there are lots of linked recommended educational exercises.  </w:t>
      </w:r>
      <w:r w:rsidRPr="00527CC9">
        <w:rPr>
          <w:i/>
          <w:iCs/>
        </w:rPr>
        <w:t xml:space="preserve">You should make use of it </w:t>
      </w:r>
      <w:r w:rsidR="00825BEA">
        <w:rPr>
          <w:i/>
          <w:iCs/>
        </w:rPr>
        <w:t xml:space="preserve">with your trainer </w:t>
      </w:r>
      <w:r w:rsidRPr="00527CC9">
        <w:rPr>
          <w:i/>
          <w:iCs/>
        </w:rPr>
        <w:t>when you are in your GP posts</w:t>
      </w:r>
      <w:r>
        <w:t xml:space="preserve"> </w:t>
      </w:r>
    </w:p>
    <w:p w14:paraId="14D11753" w14:textId="398F7B50" w:rsidR="00B16A90" w:rsidRDefault="00B16A90">
      <w:pPr>
        <w:pStyle w:val="ListBullet"/>
        <w:numPr>
          <w:ilvl w:val="0"/>
          <w:numId w:val="0"/>
        </w:numPr>
      </w:pPr>
      <w:r>
        <w:t>You</w:t>
      </w:r>
      <w:r w:rsidR="00825BEA">
        <w:t xml:space="preserve"> or your trainer </w:t>
      </w:r>
      <w:r>
        <w:t xml:space="preserve">can </w:t>
      </w:r>
      <w:r w:rsidR="00D920B7">
        <w:t xml:space="preserve">also </w:t>
      </w:r>
      <w:r>
        <w:t xml:space="preserve">download the information </w:t>
      </w:r>
      <w:r w:rsidR="00825BEA">
        <w:t xml:space="preserve">from the </w:t>
      </w:r>
      <w:proofErr w:type="gramStart"/>
      <w:r w:rsidR="00825BEA">
        <w:t>North West</w:t>
      </w:r>
      <w:proofErr w:type="gramEnd"/>
      <w:r w:rsidR="00825BEA">
        <w:t xml:space="preserve"> England Consultation Toolkit</w:t>
      </w:r>
      <w:r w:rsidR="00D920B7" w:rsidRPr="00DC1697">
        <w:rPr>
          <w:color w:val="941651"/>
        </w:rPr>
        <w:t xml:space="preserve"> </w:t>
      </w:r>
      <w:r>
        <w:t xml:space="preserve">site via PDFs if they think this would be helpful to you, including suggested </w:t>
      </w:r>
      <w:r w:rsidRPr="00DC1697">
        <w:rPr>
          <w:b/>
          <w:bCs/>
        </w:rPr>
        <w:t>reflective exercises</w:t>
      </w:r>
      <w:r>
        <w:t xml:space="preserve"> and </w:t>
      </w:r>
      <w:r w:rsidRPr="00DC1697">
        <w:rPr>
          <w:b/>
          <w:bCs/>
        </w:rPr>
        <w:t>educational activities</w:t>
      </w:r>
      <w:r>
        <w:t xml:space="preserve"> to help you to develop your consultation skills.</w:t>
      </w:r>
    </w:p>
    <w:p w14:paraId="05C915BA" w14:textId="17A15128" w:rsidR="0036533C" w:rsidRDefault="0036533C" w:rsidP="00B16A90">
      <w:pPr>
        <w:pStyle w:val="ListBullet"/>
        <w:numPr>
          <w:ilvl w:val="0"/>
          <w:numId w:val="0"/>
        </w:numPr>
        <w:ind w:left="216" w:hanging="216"/>
        <w:rPr>
          <w:rStyle w:val="Hyperlink"/>
        </w:rPr>
      </w:pPr>
    </w:p>
    <w:p w14:paraId="2C66005F" w14:textId="1415E152" w:rsidR="00A605F4" w:rsidRPr="007D6641" w:rsidRDefault="009C325A" w:rsidP="009E31AB">
      <w:pPr>
        <w:pStyle w:val="ListBullet"/>
        <w:numPr>
          <w:ilvl w:val="0"/>
          <w:numId w:val="0"/>
        </w:numPr>
        <w:ind w:left="216" w:hanging="216"/>
        <w:rPr>
          <w:b/>
          <w:bCs/>
        </w:rPr>
      </w:pPr>
      <w:hyperlink r:id="rId19" w:history="1">
        <w:r w:rsidR="007D6641" w:rsidRPr="007D6641">
          <w:rPr>
            <w:rStyle w:val="Hyperlink"/>
            <w:b/>
            <w:bCs/>
          </w:rPr>
          <w:t xml:space="preserve">Guide to the </w:t>
        </w:r>
        <w:proofErr w:type="gramStart"/>
        <w:r w:rsidR="007D6641" w:rsidRPr="007D6641">
          <w:rPr>
            <w:rStyle w:val="Hyperlink"/>
            <w:b/>
            <w:bCs/>
          </w:rPr>
          <w:t>North West</w:t>
        </w:r>
        <w:proofErr w:type="gramEnd"/>
        <w:r w:rsidR="007D6641" w:rsidRPr="007D6641">
          <w:rPr>
            <w:rStyle w:val="Hyperlink"/>
            <w:b/>
            <w:bCs/>
          </w:rPr>
          <w:t xml:space="preserve"> Consultation Toolkit</w:t>
        </w:r>
      </w:hyperlink>
    </w:p>
    <w:p w14:paraId="2671CDE6" w14:textId="77777777" w:rsidR="007D6641" w:rsidRDefault="007D6641" w:rsidP="009E31AB">
      <w:pPr>
        <w:pStyle w:val="ListBullet"/>
        <w:numPr>
          <w:ilvl w:val="0"/>
          <w:numId w:val="0"/>
        </w:numPr>
        <w:ind w:left="216" w:hanging="216"/>
      </w:pPr>
    </w:p>
    <w:p w14:paraId="374DF0B1" w14:textId="6BC798FB" w:rsidR="007C62CD" w:rsidRDefault="009C325A">
      <w:pPr>
        <w:pStyle w:val="ListBullet"/>
        <w:numPr>
          <w:ilvl w:val="0"/>
          <w:numId w:val="0"/>
        </w:numPr>
        <w:rPr>
          <w:b/>
          <w:bCs/>
        </w:rPr>
      </w:pPr>
      <w:hyperlink r:id="rId20" w:history="1">
        <w:r w:rsidR="007D6641" w:rsidRPr="007D6641">
          <w:rPr>
            <w:rStyle w:val="Hyperlink"/>
            <w:b/>
            <w:bCs/>
          </w:rPr>
          <w:t>Using the toolkit: an example</w:t>
        </w:r>
      </w:hyperlink>
    </w:p>
    <w:p w14:paraId="00517011" w14:textId="728721E6" w:rsidR="007C62CD" w:rsidRDefault="007C62CD" w:rsidP="006428AE">
      <w:pPr>
        <w:pStyle w:val="ListBullet"/>
        <w:numPr>
          <w:ilvl w:val="0"/>
          <w:numId w:val="0"/>
        </w:numPr>
        <w:ind w:left="216" w:hanging="216"/>
        <w:rPr>
          <w:b/>
          <w:bCs/>
        </w:rPr>
      </w:pPr>
    </w:p>
    <w:p w14:paraId="2ABCD0A7" w14:textId="77777777" w:rsidR="00CE4B13" w:rsidRDefault="00CE4B13" w:rsidP="006428AE">
      <w:pPr>
        <w:pStyle w:val="ListBullet"/>
        <w:numPr>
          <w:ilvl w:val="0"/>
          <w:numId w:val="0"/>
        </w:numPr>
        <w:ind w:left="216" w:hanging="216"/>
        <w:rPr>
          <w:b/>
          <w:bCs/>
        </w:rPr>
      </w:pPr>
    </w:p>
    <w:p w14:paraId="22039B1D" w14:textId="7BEB324A" w:rsidR="00A605F4" w:rsidRDefault="00F73566" w:rsidP="009E31AB">
      <w:pPr>
        <w:pStyle w:val="ListBullet"/>
        <w:numPr>
          <w:ilvl w:val="0"/>
          <w:numId w:val="0"/>
        </w:numPr>
        <w:ind w:left="216" w:hanging="216"/>
      </w:pPr>
      <w:r>
        <w:rPr>
          <w:noProof/>
        </w:rPr>
        <w:drawing>
          <wp:inline distT="0" distB="0" distL="0" distR="0" wp14:anchorId="08F52B23" wp14:editId="4C006CF3">
            <wp:extent cx="5080000" cy="716280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080000" cy="7162800"/>
                    </a:xfrm>
                    <a:prstGeom prst="rect">
                      <a:avLst/>
                    </a:prstGeom>
                  </pic:spPr>
                </pic:pic>
              </a:graphicData>
            </a:graphic>
          </wp:inline>
        </w:drawing>
      </w:r>
    </w:p>
    <w:p w14:paraId="7A919B35" w14:textId="14BA8899" w:rsidR="00316004" w:rsidRDefault="00316004" w:rsidP="009E31AB">
      <w:pPr>
        <w:pStyle w:val="ListBullet"/>
        <w:numPr>
          <w:ilvl w:val="0"/>
          <w:numId w:val="0"/>
        </w:numPr>
        <w:ind w:left="216" w:hanging="216"/>
      </w:pPr>
    </w:p>
    <w:p w14:paraId="0A08C15E" w14:textId="7E87D4E3" w:rsidR="006428AE" w:rsidRDefault="006428AE" w:rsidP="00F724B5">
      <w:pPr>
        <w:pStyle w:val="ListBullet"/>
        <w:numPr>
          <w:ilvl w:val="0"/>
          <w:numId w:val="0"/>
        </w:numPr>
        <w:rPr>
          <w:b/>
          <w:bCs/>
          <w:u w:val="single"/>
        </w:rPr>
      </w:pPr>
    </w:p>
    <w:p w14:paraId="3BFEF569" w14:textId="77777777" w:rsidR="008437DD" w:rsidRDefault="008437DD" w:rsidP="00F724B5">
      <w:pPr>
        <w:pStyle w:val="ListBullet"/>
        <w:numPr>
          <w:ilvl w:val="0"/>
          <w:numId w:val="0"/>
        </w:numPr>
        <w:rPr>
          <w:b/>
          <w:bCs/>
          <w:u w:val="single"/>
        </w:rPr>
      </w:pPr>
    </w:p>
    <w:p w14:paraId="6F51FC8B" w14:textId="77777777" w:rsidR="00F73566" w:rsidRDefault="00F73566" w:rsidP="009E31AB">
      <w:pPr>
        <w:pStyle w:val="ListBullet"/>
        <w:numPr>
          <w:ilvl w:val="0"/>
          <w:numId w:val="0"/>
        </w:numPr>
        <w:ind w:left="216" w:hanging="216"/>
        <w:rPr>
          <w:b/>
          <w:bCs/>
          <w:u w:val="single"/>
        </w:rPr>
      </w:pPr>
    </w:p>
    <w:p w14:paraId="6A974FEA" w14:textId="77777777" w:rsidR="00F73566" w:rsidRDefault="00F73566" w:rsidP="009E31AB">
      <w:pPr>
        <w:pStyle w:val="ListBullet"/>
        <w:numPr>
          <w:ilvl w:val="0"/>
          <w:numId w:val="0"/>
        </w:numPr>
        <w:ind w:left="216" w:hanging="216"/>
        <w:rPr>
          <w:b/>
          <w:bCs/>
          <w:u w:val="single"/>
        </w:rPr>
      </w:pPr>
    </w:p>
    <w:p w14:paraId="7026775B" w14:textId="77777777" w:rsidR="00F73566" w:rsidRDefault="00F73566" w:rsidP="009E31AB">
      <w:pPr>
        <w:pStyle w:val="ListBullet"/>
        <w:numPr>
          <w:ilvl w:val="0"/>
          <w:numId w:val="0"/>
        </w:numPr>
        <w:ind w:left="216" w:hanging="216"/>
        <w:rPr>
          <w:b/>
          <w:bCs/>
          <w:u w:val="single"/>
        </w:rPr>
      </w:pPr>
    </w:p>
    <w:p w14:paraId="56354A42" w14:textId="49E1A291" w:rsidR="00B16A90" w:rsidRDefault="00F73566" w:rsidP="009E31AB">
      <w:pPr>
        <w:pStyle w:val="ListBullet"/>
        <w:numPr>
          <w:ilvl w:val="0"/>
          <w:numId w:val="0"/>
        </w:numPr>
        <w:ind w:left="216" w:hanging="216"/>
        <w:rPr>
          <w:b/>
          <w:bCs/>
          <w:u w:val="single"/>
        </w:rPr>
      </w:pPr>
      <w:r>
        <w:rPr>
          <w:b/>
          <w:bCs/>
          <w:u w:val="single"/>
        </w:rPr>
        <w:t>Consultation</w:t>
      </w:r>
      <w:r w:rsidR="00B16A90">
        <w:rPr>
          <w:b/>
          <w:bCs/>
          <w:u w:val="single"/>
        </w:rPr>
        <w:t xml:space="preserve"> tool</w:t>
      </w:r>
    </w:p>
    <w:p w14:paraId="1AFCCE6D" w14:textId="7F281A37" w:rsidR="00D65153" w:rsidRDefault="00D65153" w:rsidP="00D65153">
      <w:pPr>
        <w:pStyle w:val="ListBullet"/>
        <w:numPr>
          <w:ilvl w:val="0"/>
          <w:numId w:val="0"/>
        </w:numPr>
      </w:pPr>
      <w:r>
        <w:t xml:space="preserve">This is detailed and closely aligned with the RCA marking schedule.  </w:t>
      </w:r>
      <w:r w:rsidR="00F73566">
        <w:t>It</w:t>
      </w:r>
      <w:r>
        <w:t xml:space="preserve"> can be downloaded from the </w:t>
      </w:r>
      <w:proofErr w:type="gramStart"/>
      <w:r w:rsidR="00F73566">
        <w:t>North West</w:t>
      </w:r>
      <w:proofErr w:type="gramEnd"/>
      <w:r w:rsidR="00F73566">
        <w:t xml:space="preserve"> Consultation </w:t>
      </w:r>
      <w:r>
        <w:t>Toolkit site as a PDF version</w:t>
      </w:r>
      <w:r w:rsidR="00F73566">
        <w:t xml:space="preserve"> or be used electronically, allowing your trainer and you to share</w:t>
      </w:r>
      <w:r>
        <w:t xml:space="preserve">.  </w:t>
      </w:r>
    </w:p>
    <w:p w14:paraId="0A236515" w14:textId="7C6D46E7" w:rsidR="00D65153" w:rsidRPr="00D65153" w:rsidRDefault="00D65153" w:rsidP="00DC1697">
      <w:r>
        <w:t xml:space="preserve">You and your supervisor can </w:t>
      </w:r>
      <w:r w:rsidR="00F73566">
        <w:t>highlight</w:t>
      </w:r>
      <w:r>
        <w:t xml:space="preserve"> </w:t>
      </w:r>
      <w:r w:rsidR="00F73566">
        <w:t>a</w:t>
      </w:r>
      <w:r>
        <w:t xml:space="preserve"> RAG circle to </w:t>
      </w:r>
      <w:r w:rsidR="00F73566">
        <w:t>assess</w:t>
      </w:r>
      <w:r w:rsidR="00F724B5">
        <w:t xml:space="preserve"> your </w:t>
      </w:r>
      <w:r w:rsidR="00F73566">
        <w:t xml:space="preserve">own </w:t>
      </w:r>
      <w:r w:rsidR="00F724B5">
        <w:t>videos</w:t>
      </w:r>
      <w:r>
        <w:t xml:space="preserve"> – it is important</w:t>
      </w:r>
      <w:r w:rsidRPr="00032390">
        <w:rPr>
          <w:b/>
          <w:bCs/>
          <w:color w:val="C00000"/>
        </w:rPr>
        <w:t xml:space="preserve"> </w:t>
      </w:r>
      <w:r w:rsidRPr="00F724B5">
        <w:rPr>
          <w:color w:val="000000" w:themeColor="text1"/>
        </w:rPr>
        <w:t>to</w:t>
      </w:r>
      <w:r w:rsidRPr="00032390">
        <w:rPr>
          <w:b/>
          <w:bCs/>
          <w:color w:val="C00000"/>
        </w:rPr>
        <w:t xml:space="preserve"> become better at self-assessing </w:t>
      </w:r>
      <w:r>
        <w:rPr>
          <w:b/>
          <w:bCs/>
          <w:color w:val="C00000"/>
        </w:rPr>
        <w:t>your</w:t>
      </w:r>
      <w:r w:rsidRPr="00032390">
        <w:rPr>
          <w:b/>
          <w:bCs/>
          <w:color w:val="C00000"/>
        </w:rPr>
        <w:t xml:space="preserve"> own consultations.  </w:t>
      </w:r>
      <w:r>
        <w:rPr>
          <w:b/>
          <w:bCs/>
          <w:color w:val="C00000"/>
        </w:rPr>
        <w:t>You need to become your own RCA examiner!</w:t>
      </w:r>
    </w:p>
    <w:p w14:paraId="1071C701" w14:textId="77777777" w:rsidR="009E31AB" w:rsidRDefault="009E31AB" w:rsidP="009E31AB">
      <w:pPr>
        <w:pStyle w:val="ListBullet"/>
        <w:numPr>
          <w:ilvl w:val="0"/>
          <w:numId w:val="0"/>
        </w:numPr>
      </w:pPr>
    </w:p>
    <w:p w14:paraId="164B2673" w14:textId="1A72D130" w:rsidR="0090127B" w:rsidRDefault="00465268" w:rsidP="0090127B">
      <w:pPr>
        <w:pStyle w:val="ListBullet"/>
        <w:numPr>
          <w:ilvl w:val="0"/>
          <w:numId w:val="0"/>
        </w:numPr>
        <w:ind w:left="216" w:hanging="216"/>
        <w:rPr>
          <w:noProof/>
        </w:rPr>
      </w:pPr>
      <w:r>
        <w:rPr>
          <w:noProof/>
        </w:rPr>
        <w:drawing>
          <wp:inline distT="0" distB="0" distL="0" distR="0" wp14:anchorId="41CFE04D" wp14:editId="13555B96">
            <wp:extent cx="5823585" cy="4057650"/>
            <wp:effectExtent l="0" t="0" r="5715" b="635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823585" cy="4057650"/>
                    </a:xfrm>
                    <a:prstGeom prst="rect">
                      <a:avLst/>
                    </a:prstGeom>
                  </pic:spPr>
                </pic:pic>
              </a:graphicData>
            </a:graphic>
          </wp:inline>
        </w:drawing>
      </w:r>
    </w:p>
    <w:p w14:paraId="3171517A" w14:textId="442DE1F9" w:rsidR="004238F0" w:rsidRPr="004238F0" w:rsidRDefault="004238F0" w:rsidP="004238F0">
      <w:pPr>
        <w:spacing w:after="0" w:line="240" w:lineRule="auto"/>
        <w:rPr>
          <w:rFonts w:ascii="Times New Roman" w:eastAsia="Times New Roman" w:hAnsi="Times New Roman" w:cs="Times New Roman"/>
          <w:color w:val="auto"/>
          <w:sz w:val="24"/>
          <w:szCs w:val="24"/>
          <w:lang w:val="en-GB" w:eastAsia="en-GB"/>
        </w:rPr>
      </w:pPr>
      <w:r w:rsidRPr="004238F0">
        <w:rPr>
          <w:rFonts w:ascii="Arial" w:eastAsia="Times New Roman" w:hAnsi="Arial" w:cs="Arial"/>
          <w:color w:val="B0B0B0"/>
          <w:sz w:val="17"/>
          <w:szCs w:val="17"/>
          <w:shd w:val="clear" w:color="auto" w:fill="FFFFFF"/>
          <w:lang w:val="en-GB" w:eastAsia="en-GB"/>
        </w:rPr>
        <w:t>© Copyright 20</w:t>
      </w:r>
      <w:r w:rsidR="00465268">
        <w:rPr>
          <w:rFonts w:ascii="Arial" w:eastAsia="Times New Roman" w:hAnsi="Arial" w:cs="Arial"/>
          <w:color w:val="B0B0B0"/>
          <w:sz w:val="17"/>
          <w:szCs w:val="17"/>
          <w:shd w:val="clear" w:color="auto" w:fill="FFFFFF"/>
          <w:lang w:val="en-GB" w:eastAsia="en-GB"/>
        </w:rPr>
        <w:t>21</w:t>
      </w:r>
      <w:r w:rsidRPr="004238F0">
        <w:rPr>
          <w:rFonts w:ascii="Arial" w:eastAsia="Times New Roman" w:hAnsi="Arial" w:cs="Arial"/>
          <w:color w:val="B0B0B0"/>
          <w:sz w:val="17"/>
          <w:szCs w:val="17"/>
          <w:shd w:val="clear" w:color="auto" w:fill="FFFFFF"/>
          <w:lang w:val="en-GB" w:eastAsia="en-GB"/>
        </w:rPr>
        <w:t xml:space="preserve"> Anne Hawkridge and David Molyneux HEENW</w:t>
      </w:r>
    </w:p>
    <w:p w14:paraId="40E1D4F4" w14:textId="32B36B69" w:rsidR="002F4D6D" w:rsidRPr="004F1D53" w:rsidRDefault="002F4D6D" w:rsidP="004F1D53"/>
    <w:p w14:paraId="282C5BA9" w14:textId="48C524EE" w:rsidR="002F4D6D" w:rsidRDefault="002F4D6D" w:rsidP="002F4D6D">
      <w:pPr>
        <w:rPr>
          <w:noProof/>
        </w:rPr>
      </w:pPr>
    </w:p>
    <w:p w14:paraId="5C0ED587" w14:textId="0017C503" w:rsidR="0090127B" w:rsidRDefault="0090127B" w:rsidP="0090127B">
      <w:pPr>
        <w:pStyle w:val="ListBullet"/>
        <w:numPr>
          <w:ilvl w:val="0"/>
          <w:numId w:val="0"/>
        </w:numPr>
        <w:ind w:left="216" w:hanging="216"/>
      </w:pPr>
    </w:p>
    <w:p w14:paraId="63547B6A" w14:textId="5E891667" w:rsidR="00847AED" w:rsidRPr="00F724B5" w:rsidRDefault="00847AED" w:rsidP="006428AE">
      <w:pPr>
        <w:pStyle w:val="ListBullet"/>
        <w:numPr>
          <w:ilvl w:val="0"/>
          <w:numId w:val="0"/>
        </w:numPr>
        <w:jc w:val="center"/>
        <w:rPr>
          <w:color w:val="FF0000"/>
          <w:lang w:val="en-GB"/>
        </w:rPr>
      </w:pPr>
      <w:r w:rsidRPr="00F724B5">
        <w:rPr>
          <w:b/>
          <w:bCs/>
          <w:color w:val="FF0000"/>
        </w:rPr>
        <w:t>The selection for submission is</w:t>
      </w:r>
      <w:r w:rsidR="0097605B" w:rsidRPr="00F724B5">
        <w:rPr>
          <w:b/>
          <w:bCs/>
          <w:color w:val="FF0000"/>
        </w:rPr>
        <w:t xml:space="preserve"> yours</w:t>
      </w:r>
      <w:r w:rsidRPr="00F724B5">
        <w:rPr>
          <w:color w:val="FF0000"/>
          <w:lang w:val="en-GB"/>
        </w:rPr>
        <w:t xml:space="preserve"> </w:t>
      </w:r>
      <w:r w:rsidR="0097605B" w:rsidRPr="00F724B5">
        <w:rPr>
          <w:color w:val="FF0000"/>
          <w:lang w:val="en-GB"/>
        </w:rPr>
        <w:t>–</w:t>
      </w:r>
      <w:r w:rsidRPr="00F724B5">
        <w:rPr>
          <w:color w:val="FF0000"/>
          <w:lang w:val="en-GB"/>
        </w:rPr>
        <w:t xml:space="preserve"> </w:t>
      </w:r>
      <w:r w:rsidR="0097605B" w:rsidRPr="00755E49">
        <w:rPr>
          <w:b/>
          <w:bCs/>
          <w:color w:val="FF0000"/>
          <w:lang w:val="en-GB"/>
        </w:rPr>
        <w:t>your trainer is not there to</w:t>
      </w:r>
      <w:r w:rsidR="0097605B" w:rsidRPr="00F724B5">
        <w:rPr>
          <w:color w:val="FF0000"/>
          <w:lang w:val="en-GB"/>
        </w:rPr>
        <w:t xml:space="preserve"> </w:t>
      </w:r>
      <w:r w:rsidR="0097605B" w:rsidRPr="00F724B5">
        <w:rPr>
          <w:b/>
          <w:bCs/>
          <w:color w:val="FF0000"/>
        </w:rPr>
        <w:t>tell you</w:t>
      </w:r>
      <w:r w:rsidRPr="00F724B5">
        <w:rPr>
          <w:b/>
          <w:bCs/>
          <w:color w:val="FF0000"/>
        </w:rPr>
        <w:t xml:space="preserve"> a video will pass – </w:t>
      </w:r>
      <w:r w:rsidR="0097605B" w:rsidRPr="00F724B5">
        <w:rPr>
          <w:b/>
          <w:bCs/>
          <w:color w:val="FF0000"/>
        </w:rPr>
        <w:t>you need to be able to accurately self</w:t>
      </w:r>
      <w:r w:rsidR="00B2587F" w:rsidRPr="00F724B5">
        <w:rPr>
          <w:b/>
          <w:bCs/>
          <w:color w:val="FF0000"/>
        </w:rPr>
        <w:t>-</w:t>
      </w:r>
      <w:r w:rsidRPr="00F724B5">
        <w:rPr>
          <w:b/>
          <w:bCs/>
          <w:color w:val="FF0000"/>
        </w:rPr>
        <w:t xml:space="preserve">assess </w:t>
      </w:r>
      <w:r w:rsidR="0097605B" w:rsidRPr="00F724B5">
        <w:rPr>
          <w:b/>
          <w:bCs/>
          <w:color w:val="FF0000"/>
        </w:rPr>
        <w:t xml:space="preserve">and make that </w:t>
      </w:r>
      <w:r w:rsidRPr="00F724B5">
        <w:rPr>
          <w:b/>
          <w:bCs/>
          <w:color w:val="FF0000"/>
        </w:rPr>
        <w:t>ultimate judgement</w:t>
      </w:r>
      <w:r w:rsidR="0097605B" w:rsidRPr="00F724B5">
        <w:rPr>
          <w:b/>
          <w:bCs/>
          <w:color w:val="FF0000"/>
        </w:rPr>
        <w:t xml:space="preserve"> on which cases to submit.</w:t>
      </w:r>
    </w:p>
    <w:p w14:paraId="11B24C22" w14:textId="5CBE9617" w:rsidR="00847AED" w:rsidRDefault="00847AED" w:rsidP="006428AE">
      <w:pPr>
        <w:pStyle w:val="ListBullet"/>
        <w:numPr>
          <w:ilvl w:val="0"/>
          <w:numId w:val="0"/>
        </w:numPr>
        <w:ind w:left="720"/>
        <w:jc w:val="center"/>
      </w:pPr>
    </w:p>
    <w:p w14:paraId="1690E1BA" w14:textId="4F30493A" w:rsidR="00CD6A5F" w:rsidRDefault="00CD6A5F" w:rsidP="006428AE">
      <w:pPr>
        <w:pStyle w:val="ListBullet"/>
        <w:numPr>
          <w:ilvl w:val="0"/>
          <w:numId w:val="0"/>
        </w:numPr>
        <w:ind w:left="720"/>
        <w:jc w:val="center"/>
      </w:pPr>
    </w:p>
    <w:p w14:paraId="0A7619CE" w14:textId="379C294D" w:rsidR="00CD6A5F" w:rsidRDefault="00CD6A5F" w:rsidP="006428AE">
      <w:pPr>
        <w:pStyle w:val="ListBullet"/>
        <w:numPr>
          <w:ilvl w:val="0"/>
          <w:numId w:val="0"/>
        </w:numPr>
        <w:ind w:left="720"/>
        <w:jc w:val="center"/>
      </w:pPr>
    </w:p>
    <w:p w14:paraId="1D444330" w14:textId="71C7B88D" w:rsidR="00CD6A5F" w:rsidRDefault="00A04136" w:rsidP="00A04136">
      <w:pPr>
        <w:pStyle w:val="Heading1"/>
        <w:pBdr>
          <w:top w:val="single" w:sz="24" w:space="1" w:color="262626" w:themeColor="text1" w:themeTint="D9"/>
        </w:pBdr>
      </w:pPr>
      <w:r>
        <w:t xml:space="preserve">maximise Learning from your GP supervisors in RCA preparation </w:t>
      </w:r>
    </w:p>
    <w:p w14:paraId="769ACB7B" w14:textId="6B8CC356" w:rsidR="00CD6A5F" w:rsidRPr="00A04136" w:rsidRDefault="00CD6A5F" w:rsidP="00266AC9">
      <w:pPr>
        <w:pStyle w:val="IntenseQuote"/>
        <w:rPr>
          <w:rStyle w:val="Strong"/>
          <w:rFonts w:asciiTheme="majorHAnsi" w:eastAsiaTheme="majorEastAsia" w:hAnsiTheme="majorHAnsi" w:cstheme="majorBidi"/>
          <w:iCs w:val="0"/>
          <w:caps/>
          <w:sz w:val="20"/>
          <w:szCs w:val="32"/>
        </w:rPr>
      </w:pPr>
      <w:r w:rsidRPr="00A04136">
        <w:rPr>
          <w:rStyle w:val="Strong"/>
          <w:sz w:val="20"/>
        </w:rPr>
        <w:t xml:space="preserve">Your Educational Supervisor and Clinical Supervisor in your GP posts are invaluable </w:t>
      </w:r>
      <w:r w:rsidR="000B6D62">
        <w:rPr>
          <w:rStyle w:val="Strong"/>
          <w:sz w:val="20"/>
        </w:rPr>
        <w:t>to support your RCA preparation</w:t>
      </w:r>
    </w:p>
    <w:p w14:paraId="2B7D2C64" w14:textId="6B740239" w:rsidR="00CD6A5F" w:rsidRDefault="00CD6A5F" w:rsidP="00CD6A5F">
      <w:r>
        <w:t xml:space="preserve">Your supervisors have experience and specific training in guiding you to pass your RCA exam. </w:t>
      </w:r>
    </w:p>
    <w:p w14:paraId="73DDC529" w14:textId="1A76422F" w:rsidR="00CD6A5F" w:rsidRDefault="00CD6A5F" w:rsidP="00CD6A5F">
      <w:r w:rsidRPr="00A04136">
        <w:rPr>
          <w:rStyle w:val="IntenseQuoteChar"/>
          <w:sz w:val="20"/>
        </w:rPr>
        <w:t>Encourage</w:t>
      </w:r>
      <w:r w:rsidRPr="00A04136">
        <w:t xml:space="preserve"> them to give you </w:t>
      </w:r>
      <w:r w:rsidRPr="00A04136">
        <w:rPr>
          <w:rStyle w:val="IntenseQuoteChar"/>
          <w:sz w:val="20"/>
        </w:rPr>
        <w:t xml:space="preserve">feedback </w:t>
      </w:r>
      <w:r w:rsidRPr="00A04136">
        <w:t xml:space="preserve">and welcome any constructive advice on where you need to improve.  Ask them questions, discuss cases you’ve seen and make the most of their expertise and advice.  If you aren’t told where your weaknesses are, you must ask, as you need to be constantly finding ways of improving. </w:t>
      </w:r>
    </w:p>
    <w:p w14:paraId="1DE19F05" w14:textId="77777777" w:rsidR="00CD6A5F" w:rsidRPr="00A04136" w:rsidRDefault="00CD6A5F" w:rsidP="00CD6A5F">
      <w:pPr>
        <w:pStyle w:val="Heading1"/>
        <w:rPr>
          <w:rStyle w:val="Emphasis"/>
          <w:i/>
          <w:iCs w:val="0"/>
        </w:rPr>
      </w:pPr>
      <w:r w:rsidRPr="00A04136">
        <w:rPr>
          <w:rStyle w:val="Emphasis"/>
          <w:i/>
          <w:iCs w:val="0"/>
        </w:rPr>
        <w:t>Individualise your educational experience for maximum benefit</w:t>
      </w:r>
    </w:p>
    <w:p w14:paraId="739E56A9" w14:textId="16810E40" w:rsidR="00CD6A5F" w:rsidRPr="008D602D" w:rsidRDefault="00CD6A5F" w:rsidP="00CD6A5F">
      <w:pPr>
        <w:rPr>
          <w:rStyle w:val="Heading4Char"/>
        </w:rPr>
      </w:pPr>
      <w:r>
        <w:t xml:space="preserve">Discuss the </w:t>
      </w:r>
      <w:r w:rsidRPr="008D602D">
        <w:rPr>
          <w:rStyle w:val="Heading4Char"/>
        </w:rPr>
        <w:t>case-mix</w:t>
      </w:r>
      <w:r>
        <w:t xml:space="preserve"> you are seeing in your day-to-day practice and consider if there are any areas you are missing out on, so that your practice can help to adjust this.  </w:t>
      </w:r>
      <w:proofErr w:type="spellStart"/>
      <w:r>
        <w:t>Optimise</w:t>
      </w:r>
      <w:proofErr w:type="spellEnd"/>
      <w:r>
        <w:t xml:space="preserve"> your </w:t>
      </w:r>
      <w:r w:rsidRPr="008D602D">
        <w:rPr>
          <w:rStyle w:val="Heading4Char"/>
        </w:rPr>
        <w:t>appointment length</w:t>
      </w:r>
      <w:r>
        <w:t xml:space="preserve"> through discussion with your supervisor, to ensure sufficient and appropriate challenge regarding your time management and exposure to a good </w:t>
      </w:r>
      <w:r w:rsidRPr="008D602D">
        <w:rPr>
          <w:rStyle w:val="Heading4Char"/>
        </w:rPr>
        <w:t xml:space="preserve">variety of patient presentations.  </w:t>
      </w:r>
    </w:p>
    <w:p w14:paraId="1C6F750D" w14:textId="4127D079" w:rsidR="00CD6A5F" w:rsidRPr="008D602D" w:rsidRDefault="00CD6A5F" w:rsidP="00CD6A5F">
      <w:pPr>
        <w:pStyle w:val="Heading1"/>
        <w:rPr>
          <w:rStyle w:val="Emphasis"/>
        </w:rPr>
      </w:pPr>
      <w:r w:rsidRPr="008D602D">
        <w:rPr>
          <w:rStyle w:val="Emphasis"/>
        </w:rPr>
        <w:t xml:space="preserve">AKT and WPBA in preparation for the </w:t>
      </w:r>
      <w:r>
        <w:rPr>
          <w:rStyle w:val="Emphasis"/>
        </w:rPr>
        <w:t>RCA</w:t>
      </w:r>
    </w:p>
    <w:p w14:paraId="7AEA3DAC" w14:textId="3F6A739C" w:rsidR="00CD6A5F" w:rsidRDefault="00CD6A5F" w:rsidP="00CD6A5F">
      <w:r>
        <w:t xml:space="preserve">Use your e-portfolio to </w:t>
      </w:r>
      <w:r w:rsidR="00D920B7">
        <w:t>guide</w:t>
      </w:r>
      <w:r>
        <w:t xml:space="preserve"> your RCA preparation.  Create learning log entries on your consulting skills and reflect on how you are going to ensure you do better.  Look at the comments your supervisors write on your learning logs and in your COT and CBD assessments.  Take heed of your PSQ and MSF outcomes, using these to consider how you might improve your consultation.  </w:t>
      </w:r>
    </w:p>
    <w:p w14:paraId="2F2F1244" w14:textId="1C2E86AB" w:rsidR="00CD6A5F" w:rsidRPr="00A04136" w:rsidRDefault="00A04136" w:rsidP="00DC1697">
      <w:pPr>
        <w:jc w:val="center"/>
        <w:rPr>
          <w:b/>
          <w:bCs/>
        </w:rPr>
      </w:pPr>
      <w:r w:rsidRPr="00A04136">
        <w:rPr>
          <w:b/>
          <w:bCs/>
        </w:rPr>
        <w:t>Remember the components of the MRCGP are not mutually exclusive, but the AKT and WPBA very much compl</w:t>
      </w:r>
      <w:r w:rsidR="009F2F6C">
        <w:rPr>
          <w:b/>
          <w:bCs/>
        </w:rPr>
        <w:t>e</w:t>
      </w:r>
      <w:r w:rsidRPr="00A04136">
        <w:rPr>
          <w:b/>
          <w:bCs/>
        </w:rPr>
        <w:t>ment the RCA</w:t>
      </w:r>
    </w:p>
    <w:p w14:paraId="58CBDB2F" w14:textId="48442F11" w:rsidR="000A009D" w:rsidRPr="00554DE2" w:rsidRDefault="00554DE2" w:rsidP="00554DE2">
      <w:pPr>
        <w:pStyle w:val="Heading1"/>
        <w:pBdr>
          <w:top w:val="single" w:sz="24" w:space="1" w:color="262626" w:themeColor="text1" w:themeTint="D9"/>
        </w:pBdr>
      </w:pPr>
      <w:r>
        <w:t xml:space="preserve">GP Structured teaching programme in RCA preparation </w:t>
      </w:r>
    </w:p>
    <w:p w14:paraId="1FA477BD" w14:textId="248DC2A5" w:rsidR="000A009D" w:rsidRDefault="000A009D" w:rsidP="000A009D">
      <w:r>
        <w:t xml:space="preserve">The teaching sessions </w:t>
      </w:r>
      <w:proofErr w:type="spellStart"/>
      <w:r>
        <w:t>organised</w:t>
      </w:r>
      <w:proofErr w:type="spellEnd"/>
      <w:r>
        <w:t xml:space="preserve"> by your local programme are all useful towards RCA </w:t>
      </w:r>
      <w:proofErr w:type="gramStart"/>
      <w:r>
        <w:t>preparation</w:t>
      </w:r>
      <w:proofErr w:type="gramEnd"/>
      <w:r>
        <w:t xml:space="preserve"> but you will find that there are many sessions </w:t>
      </w:r>
      <w:proofErr w:type="spellStart"/>
      <w:r>
        <w:t>organised</w:t>
      </w:r>
      <w:proofErr w:type="spellEnd"/>
      <w:r>
        <w:t xml:space="preserve"> specifically for this purpose.  Programmes will often </w:t>
      </w:r>
      <w:proofErr w:type="spellStart"/>
      <w:r>
        <w:t>organise</w:t>
      </w:r>
      <w:proofErr w:type="spellEnd"/>
      <w:r>
        <w:t xml:space="preserve"> sessions where you can </w:t>
      </w:r>
      <w:r w:rsidRPr="008E4867">
        <w:rPr>
          <w:color w:val="000000" w:themeColor="text1"/>
        </w:rPr>
        <w:t>r</w:t>
      </w:r>
      <w:r w:rsidRPr="008E4867">
        <w:rPr>
          <w:rStyle w:val="SubtleEmphasis"/>
          <w:color w:val="000000" w:themeColor="text1"/>
        </w:rPr>
        <w:t>eceive</w:t>
      </w:r>
      <w:r w:rsidRPr="00A97C06">
        <w:rPr>
          <w:rStyle w:val="SubtleEmphasis"/>
        </w:rPr>
        <w:t xml:space="preserve"> clear feedback from experienced educators</w:t>
      </w:r>
      <w:r>
        <w:t xml:space="preserve">.  </w:t>
      </w:r>
    </w:p>
    <w:p w14:paraId="03924317" w14:textId="35E1352E" w:rsidR="000A009D" w:rsidRDefault="000A009D" w:rsidP="000A009D">
      <w:r>
        <w:t>This compl</w:t>
      </w:r>
      <w:r w:rsidR="00B70D7D">
        <w:t>e</w:t>
      </w:r>
      <w:r>
        <w:t xml:space="preserve">ments the work you are doing in your practice with your supervisor and allows you to benchmark yourself against your peers.  </w:t>
      </w:r>
    </w:p>
    <w:p w14:paraId="5484FE8E" w14:textId="0D8229C3" w:rsidR="000A009D" w:rsidRPr="00554DE2" w:rsidRDefault="000A009D" w:rsidP="000A009D">
      <w:pPr>
        <w:pStyle w:val="Heading1"/>
        <w:rPr>
          <w:rStyle w:val="Emphasis"/>
          <w:color w:val="000000" w:themeColor="text1"/>
        </w:rPr>
      </w:pPr>
      <w:r w:rsidRPr="00554DE2">
        <w:rPr>
          <w:rStyle w:val="Emphasis"/>
          <w:color w:val="000000" w:themeColor="text1"/>
        </w:rPr>
        <w:lastRenderedPageBreak/>
        <w:t>RCA Preparation Courses</w:t>
      </w:r>
    </w:p>
    <w:p w14:paraId="0D2670DF" w14:textId="6B36EE5F" w:rsidR="000A009D" w:rsidRDefault="000A009D" w:rsidP="000A009D">
      <w:r>
        <w:t xml:space="preserve">Your structured teaching programme and tutorial time with your supervisor is the best guide for RCA preparation.  You will hear of many commercially run </w:t>
      </w:r>
      <w:proofErr w:type="gramStart"/>
      <w:r>
        <w:t>courses</w:t>
      </w:r>
      <w:proofErr w:type="gramEnd"/>
      <w:r>
        <w:t xml:space="preserve"> but these </w:t>
      </w:r>
      <w:r w:rsidR="00D920B7">
        <w:t>will</w:t>
      </w:r>
      <w:r>
        <w:t xml:space="preserve"> often </w:t>
      </w:r>
      <w:r w:rsidR="00D920B7">
        <w:t>offer</w:t>
      </w:r>
      <w:r>
        <w:t xml:space="preserve"> conflicting advice and contrary to expectation, be detrimental to your preparation.    </w:t>
      </w:r>
    </w:p>
    <w:p w14:paraId="16C4C1FA" w14:textId="0718BF9F" w:rsidR="000A009D" w:rsidRPr="00554DE2" w:rsidRDefault="000A009D" w:rsidP="000A009D">
      <w:pPr>
        <w:pStyle w:val="Heading1"/>
        <w:rPr>
          <w:rStyle w:val="Emphasis"/>
          <w:color w:val="000000" w:themeColor="text1"/>
        </w:rPr>
      </w:pPr>
      <w:r w:rsidRPr="00554DE2">
        <w:rPr>
          <w:rStyle w:val="Emphasis"/>
          <w:color w:val="000000" w:themeColor="text1"/>
        </w:rPr>
        <w:t>RCA mentors</w:t>
      </w:r>
    </w:p>
    <w:p w14:paraId="155258AF" w14:textId="72DB351F" w:rsidR="000A009D" w:rsidRPr="00BE740B" w:rsidRDefault="000A009D" w:rsidP="000A009D">
      <w:r>
        <w:t xml:space="preserve">Another useful resource on your programme are trainees ahead of you, who might have taken the exam.  Your programme can put you in contact with trainees who have achieved success in the </w:t>
      </w:r>
      <w:proofErr w:type="gramStart"/>
      <w:r>
        <w:t>RCA</w:t>
      </w:r>
      <w:proofErr w:type="gramEnd"/>
      <w:r>
        <w:t xml:space="preserve"> and this might be helpful to you</w:t>
      </w:r>
      <w:r w:rsidR="009F2F6C">
        <w:t>.</w:t>
      </w:r>
      <w:r>
        <w:t xml:space="preserve"> </w:t>
      </w:r>
    </w:p>
    <w:p w14:paraId="5FAFF792" w14:textId="75279531" w:rsidR="00CD6A5F" w:rsidRDefault="00CD6A5F" w:rsidP="006428AE">
      <w:pPr>
        <w:pStyle w:val="ListBullet"/>
        <w:numPr>
          <w:ilvl w:val="0"/>
          <w:numId w:val="0"/>
        </w:numPr>
        <w:ind w:left="720"/>
        <w:jc w:val="center"/>
      </w:pPr>
    </w:p>
    <w:p w14:paraId="6FE1961B" w14:textId="522404DA" w:rsidR="00013205" w:rsidRDefault="00013205" w:rsidP="00013205">
      <w:pPr>
        <w:pStyle w:val="Heading1"/>
        <w:pBdr>
          <w:top w:val="single" w:sz="24" w:space="1" w:color="262626" w:themeColor="text1" w:themeTint="D9"/>
        </w:pBdr>
      </w:pPr>
      <w:r>
        <w:t>Breaches in Exam Regulations</w:t>
      </w:r>
    </w:p>
    <w:p w14:paraId="0A935DE2" w14:textId="716F3F1D" w:rsidR="00013205" w:rsidRDefault="00013205" w:rsidP="00013205">
      <w:pPr>
        <w:pStyle w:val="ListBullet"/>
        <w:numPr>
          <w:ilvl w:val="0"/>
          <w:numId w:val="0"/>
        </w:numPr>
        <w:ind w:left="216" w:hanging="216"/>
      </w:pPr>
      <w:r>
        <w:t>Ensure you are familiar with the exam regulations and note:</w:t>
      </w:r>
    </w:p>
    <w:p w14:paraId="53D53A3D" w14:textId="362815FF" w:rsidR="00013205" w:rsidRDefault="00013205" w:rsidP="00013205">
      <w:pPr>
        <w:pStyle w:val="ListBullet"/>
        <w:numPr>
          <w:ilvl w:val="0"/>
          <w:numId w:val="0"/>
        </w:numPr>
        <w:ind w:left="216" w:hanging="216"/>
      </w:pPr>
    </w:p>
    <w:p w14:paraId="3AE09754" w14:textId="18FF3187" w:rsidR="00013205" w:rsidRDefault="00013205" w:rsidP="00013205">
      <w:pPr>
        <w:pStyle w:val="ListBullet"/>
        <w:numPr>
          <w:ilvl w:val="0"/>
          <w:numId w:val="36"/>
        </w:numPr>
      </w:pPr>
      <w:r>
        <w:t>If a case you submit does not meet the mandatory case selection criteria</w:t>
      </w:r>
      <w:r w:rsidR="006B08B4">
        <w:t xml:space="preserve"> you have linked it to (or you omit to submit one of the mandatory case selection criteria)</w:t>
      </w:r>
      <w:r>
        <w:t xml:space="preserve"> and there is no other case you have submitted that does, you will be awarded </w:t>
      </w:r>
      <w:r w:rsidRPr="00DC1697">
        <w:rPr>
          <w:b/>
          <w:bCs/>
        </w:rPr>
        <w:t>no marks</w:t>
      </w:r>
      <w:r>
        <w:t xml:space="preserve"> for that consultation</w:t>
      </w:r>
    </w:p>
    <w:p w14:paraId="32C95BEF" w14:textId="15255226" w:rsidR="00013205" w:rsidRDefault="00013205" w:rsidP="00013205">
      <w:pPr>
        <w:pStyle w:val="ListBullet"/>
        <w:numPr>
          <w:ilvl w:val="0"/>
          <w:numId w:val="36"/>
        </w:numPr>
      </w:pPr>
      <w:r>
        <w:t xml:space="preserve">If 2 </w:t>
      </w:r>
      <w:proofErr w:type="gramStart"/>
      <w:r>
        <w:t>cases</w:t>
      </w:r>
      <w:proofErr w:type="gramEnd"/>
      <w:r>
        <w:t xml:space="preserve"> you submit do not meet the mandatory case selection criteria your </w:t>
      </w:r>
      <w:r w:rsidRPr="00DC1697">
        <w:rPr>
          <w:b/>
          <w:bCs/>
        </w:rPr>
        <w:t>whole submission</w:t>
      </w:r>
      <w:r>
        <w:t xml:space="preserve"> will be rejected</w:t>
      </w:r>
    </w:p>
    <w:p w14:paraId="53CD4456" w14:textId="3E023055" w:rsidR="00013205" w:rsidRDefault="00013205" w:rsidP="00013205">
      <w:pPr>
        <w:pStyle w:val="ListBullet"/>
        <w:numPr>
          <w:ilvl w:val="0"/>
          <w:numId w:val="36"/>
        </w:numPr>
      </w:pPr>
      <w:r>
        <w:t xml:space="preserve">If a case does not comply with the ‘swimsuit’ test for intimate examinations, you will be awarded </w:t>
      </w:r>
      <w:r w:rsidRPr="00DC1697">
        <w:rPr>
          <w:b/>
          <w:bCs/>
        </w:rPr>
        <w:t>no marks</w:t>
      </w:r>
      <w:r>
        <w:t xml:space="preserve"> for that consultation</w:t>
      </w:r>
    </w:p>
    <w:p w14:paraId="7504F16F" w14:textId="111BB9B9" w:rsidR="00013205" w:rsidRDefault="00013205" w:rsidP="00013205">
      <w:pPr>
        <w:pStyle w:val="ListBullet"/>
        <w:numPr>
          <w:ilvl w:val="0"/>
          <w:numId w:val="36"/>
        </w:numPr>
      </w:pPr>
      <w:r>
        <w:t xml:space="preserve">If a case is not a continuous recording, you will be awarded </w:t>
      </w:r>
      <w:r w:rsidRPr="00DC1697">
        <w:rPr>
          <w:b/>
          <w:bCs/>
        </w:rPr>
        <w:t>no marks</w:t>
      </w:r>
      <w:r>
        <w:t xml:space="preserve"> for that consultation</w:t>
      </w:r>
    </w:p>
    <w:p w14:paraId="6FB0B217" w14:textId="38B74D97" w:rsidR="006B08B4" w:rsidRDefault="006B08B4" w:rsidP="00013205">
      <w:pPr>
        <w:pStyle w:val="ListBullet"/>
        <w:numPr>
          <w:ilvl w:val="0"/>
          <w:numId w:val="36"/>
        </w:numPr>
      </w:pPr>
      <w:r>
        <w:t>If there are two or more breaches your whole submission will be declined</w:t>
      </w:r>
    </w:p>
    <w:p w14:paraId="1ABDDCA9" w14:textId="1C31ECD1" w:rsidR="00013205" w:rsidRDefault="00013205" w:rsidP="00013205">
      <w:pPr>
        <w:pStyle w:val="ListBullet"/>
        <w:numPr>
          <w:ilvl w:val="0"/>
          <w:numId w:val="0"/>
        </w:numPr>
        <w:ind w:left="216" w:hanging="216"/>
      </w:pPr>
    </w:p>
    <w:p w14:paraId="7B9E1410" w14:textId="46510B62" w:rsidR="00013205" w:rsidRDefault="00013205" w:rsidP="00DC1697">
      <w:pPr>
        <w:pStyle w:val="ListBullet"/>
        <w:numPr>
          <w:ilvl w:val="0"/>
          <w:numId w:val="0"/>
        </w:numPr>
        <w:ind w:left="216" w:hanging="216"/>
      </w:pPr>
      <w:r>
        <w:t xml:space="preserve">Do keep up to date with the </w:t>
      </w:r>
      <w:r w:rsidRPr="00266AC9">
        <w:rPr>
          <w:b/>
          <w:bCs/>
        </w:rPr>
        <w:t>RCGP RCA website</w:t>
      </w:r>
      <w:r>
        <w:t xml:space="preserve"> as information about the exam is emerging </w:t>
      </w:r>
      <w:proofErr w:type="gramStart"/>
      <w:r>
        <w:t>all of</w:t>
      </w:r>
      <w:proofErr w:type="gramEnd"/>
      <w:r>
        <w:t xml:space="preserve"> the time</w:t>
      </w:r>
    </w:p>
    <w:p w14:paraId="7D35A481" w14:textId="2E2E8A8A" w:rsidR="00AD7876" w:rsidRDefault="00D5033E" w:rsidP="00DC1697">
      <w:pPr>
        <w:pStyle w:val="Heading1"/>
        <w:pBdr>
          <w:top w:val="single" w:sz="24" w:space="1" w:color="262626" w:themeColor="text1" w:themeTint="D9"/>
        </w:pBdr>
      </w:pPr>
      <w:r>
        <w:t>decid</w:t>
      </w:r>
      <w:r w:rsidR="00645470">
        <w:t>ing</w:t>
      </w:r>
      <w:r>
        <w:t xml:space="preserve"> when to take the RCA</w:t>
      </w:r>
    </w:p>
    <w:p w14:paraId="4C4710A2" w14:textId="7ACE72F1" w:rsidR="00905827" w:rsidRDefault="00905827" w:rsidP="00554DE2">
      <w:pPr>
        <w:pStyle w:val="IntenseQuote"/>
        <w:jc w:val="center"/>
      </w:pPr>
      <w:r>
        <w:t>Do not book an exam sitting before full discussion and agreement on the most appropriate time with your Educational Supervisor.</w:t>
      </w:r>
    </w:p>
    <w:p w14:paraId="0864B21C" w14:textId="4A85A51A" w:rsidR="00905827" w:rsidRDefault="00905827" w:rsidP="00DC1697">
      <w:r>
        <w:t xml:space="preserve">Do not feel pressured into taking the exam when other trainees you know are taking it – everyone is an individual and the appropriateness of exam timing needs to be </w:t>
      </w:r>
      <w:proofErr w:type="spellStart"/>
      <w:r>
        <w:t>individualised</w:t>
      </w:r>
      <w:proofErr w:type="spellEnd"/>
      <w:r>
        <w:t>.</w:t>
      </w:r>
    </w:p>
    <w:p w14:paraId="41DF9CF8" w14:textId="77777777" w:rsidR="00647FBF" w:rsidRPr="00554DE2" w:rsidRDefault="00647FBF" w:rsidP="00647FBF">
      <w:pPr>
        <w:pStyle w:val="Heading1"/>
        <w:rPr>
          <w:b w:val="0"/>
          <w:bCs/>
          <w:i/>
          <w:iCs/>
          <w:color w:val="58B6C0" w:themeColor="accent2"/>
          <w:bdr w:val="single" w:sz="18" w:space="0" w:color="DDF0F2" w:themeColor="accent2" w:themeTint="33"/>
          <w:shd w:val="clear" w:color="auto" w:fill="DDF0F2" w:themeFill="accent2" w:themeFillTint="33"/>
        </w:rPr>
      </w:pPr>
      <w:r w:rsidRPr="00554DE2">
        <w:rPr>
          <w:rStyle w:val="Emphasis"/>
          <w:i/>
          <w:iCs w:val="0"/>
        </w:rPr>
        <w:lastRenderedPageBreak/>
        <w:t>Timing is important</w:t>
      </w:r>
    </w:p>
    <w:p w14:paraId="3A95BBB2" w14:textId="77777777" w:rsidR="00647FBF" w:rsidRDefault="00647FBF" w:rsidP="00647FBF">
      <w:r>
        <w:t xml:space="preserve">Exam preparation can be influenced not only by your own rate of progress and development but lots of external pressures such as responsibilities at home or health issues. </w:t>
      </w:r>
    </w:p>
    <w:p w14:paraId="210D20AF" w14:textId="21B4463E" w:rsidR="00905827" w:rsidRDefault="00647FBF" w:rsidP="00554DE2">
      <w:r>
        <w:t>Do involve your Educational Supervisor and Training Programme Director in understanding all the influences on your ability to prepare for exams as they will be able to help with ensuring appropriate support and guide your readiness to sit.  If appropriate, refer to the area about ‘</w:t>
      </w:r>
      <w:r w:rsidR="006B08B4">
        <w:t>special</w:t>
      </w:r>
      <w:r>
        <w:t xml:space="preserve"> adjustments’ on the RCGP RCA section of the website and complete your application as indicated.</w:t>
      </w:r>
    </w:p>
    <w:p w14:paraId="44D8CBAD" w14:textId="77777777" w:rsidR="00905827" w:rsidRDefault="00905827" w:rsidP="009271DE">
      <w:pPr>
        <w:pStyle w:val="ListBullet"/>
        <w:numPr>
          <w:ilvl w:val="0"/>
          <w:numId w:val="0"/>
        </w:numPr>
        <w:ind w:left="720"/>
      </w:pPr>
    </w:p>
    <w:p w14:paraId="6869926D" w14:textId="74A9CC71" w:rsidR="00D5033E" w:rsidRDefault="00D5033E" w:rsidP="00D5033E">
      <w:pPr>
        <w:pStyle w:val="ListBullet"/>
        <w:numPr>
          <w:ilvl w:val="0"/>
          <w:numId w:val="30"/>
        </w:numPr>
      </w:pPr>
      <w:r>
        <w:t xml:space="preserve">Remember that July and August </w:t>
      </w:r>
      <w:r w:rsidR="006B08B4">
        <w:t xml:space="preserve">2020 </w:t>
      </w:r>
      <w:r>
        <w:t xml:space="preserve">RCA sittings were in exceptional times and additional to the maximum 4 exam attempts, but future sittings will now count </w:t>
      </w:r>
    </w:p>
    <w:p w14:paraId="7A9E730A" w14:textId="53B03AFC" w:rsidR="00490B53" w:rsidRPr="00266AC9" w:rsidRDefault="00DA164F" w:rsidP="00266AC9">
      <w:pPr>
        <w:pStyle w:val="ListBullet"/>
        <w:numPr>
          <w:ilvl w:val="0"/>
          <w:numId w:val="30"/>
        </w:numPr>
        <w:rPr>
          <w:b/>
          <w:bCs/>
          <w:u w:val="single"/>
        </w:rPr>
      </w:pPr>
      <w:r>
        <w:t xml:space="preserve">In general guidance is to take the exam a maximum of 2 attempts in </w:t>
      </w:r>
      <w:r w:rsidR="00861266">
        <w:t>your</w:t>
      </w:r>
      <w:r>
        <w:t xml:space="preserve"> ST3 year, leaving a further 2 sittings for any extension period – really to space sittings and allow time for progression</w:t>
      </w:r>
    </w:p>
    <w:p w14:paraId="4DA89C27" w14:textId="041BAF8A" w:rsidR="00A065AC" w:rsidRDefault="00A41A49" w:rsidP="00DC1697">
      <w:pPr>
        <w:pStyle w:val="Heading1"/>
      </w:pPr>
      <w:r>
        <w:t>Useful Links to RCA resources</w:t>
      </w:r>
    </w:p>
    <w:p w14:paraId="587B6EF1" w14:textId="77777777" w:rsidR="00A065AC" w:rsidRPr="00A41A49" w:rsidRDefault="00A065AC" w:rsidP="00A065AC">
      <w:pPr>
        <w:rPr>
          <w:b/>
          <w:bCs/>
          <w:color w:val="FF0000"/>
          <w:u w:val="single"/>
        </w:rPr>
      </w:pPr>
    </w:p>
    <w:p w14:paraId="2F26BDA1" w14:textId="22573B10" w:rsidR="00925619" w:rsidRDefault="009C325A" w:rsidP="00490B53">
      <w:pPr>
        <w:rPr>
          <w:rStyle w:val="Hyperlink"/>
          <w:b/>
          <w:bCs/>
          <w:color w:val="FF0000"/>
        </w:rPr>
      </w:pPr>
      <w:hyperlink r:id="rId23" w:history="1">
        <w:r w:rsidR="00925619" w:rsidRPr="00A41A49">
          <w:rPr>
            <w:rStyle w:val="Hyperlink"/>
            <w:b/>
            <w:bCs/>
            <w:color w:val="FF0000"/>
          </w:rPr>
          <w:t>RCA Assessment Policy</w:t>
        </w:r>
      </w:hyperlink>
    </w:p>
    <w:p w14:paraId="0781A849" w14:textId="0B7193C0" w:rsidR="00571050" w:rsidRPr="00571050" w:rsidRDefault="009C325A" w:rsidP="00490B53">
      <w:pPr>
        <w:rPr>
          <w:b/>
          <w:bCs/>
        </w:rPr>
      </w:pPr>
      <w:hyperlink r:id="rId24" w:history="1">
        <w:r w:rsidR="00571050" w:rsidRPr="00571050">
          <w:rPr>
            <w:rStyle w:val="Hyperlink"/>
            <w:b/>
            <w:bCs/>
          </w:rPr>
          <w:t>RCA mandatory cases</w:t>
        </w:r>
      </w:hyperlink>
    </w:p>
    <w:p w14:paraId="1F3DF283" w14:textId="761A5E34" w:rsidR="00571050" w:rsidRPr="00571050" w:rsidRDefault="009C325A" w:rsidP="00571050">
      <w:pPr>
        <w:pStyle w:val="ListBullet"/>
        <w:numPr>
          <w:ilvl w:val="0"/>
          <w:numId w:val="0"/>
        </w:numPr>
        <w:rPr>
          <w:rFonts w:cs="Tahoma (Body CS)"/>
          <w:b/>
          <w:bCs/>
          <w:color w:val="C00000"/>
        </w:rPr>
      </w:pPr>
      <w:hyperlink r:id="rId25" w:history="1">
        <w:r w:rsidR="00571050" w:rsidRPr="00571050">
          <w:rPr>
            <w:rStyle w:val="Hyperlink"/>
            <w:rFonts w:cs="Tahoma (Body CS)"/>
            <w:b/>
            <w:bCs/>
            <w:color w:val="C00000"/>
          </w:rPr>
          <w:t>Details on low challenge/insufficient evidence cases</w:t>
        </w:r>
      </w:hyperlink>
    </w:p>
    <w:p w14:paraId="342B20E0" w14:textId="0931603B" w:rsidR="00925619" w:rsidRPr="00A41A49" w:rsidRDefault="009C325A" w:rsidP="00490B53">
      <w:pPr>
        <w:rPr>
          <w:b/>
          <w:bCs/>
          <w:color w:val="FF0000"/>
        </w:rPr>
      </w:pPr>
      <w:hyperlink r:id="rId26" w:history="1">
        <w:r w:rsidR="00925619" w:rsidRPr="00A41A49">
          <w:rPr>
            <w:rStyle w:val="Hyperlink"/>
            <w:b/>
            <w:bCs/>
            <w:color w:val="FF0000"/>
          </w:rPr>
          <w:t>RCA FAQs</w:t>
        </w:r>
      </w:hyperlink>
    </w:p>
    <w:p w14:paraId="4BC84F9E" w14:textId="70876D63" w:rsidR="00925619" w:rsidRPr="00A41A49" w:rsidRDefault="009C325A" w:rsidP="00490B53">
      <w:pPr>
        <w:rPr>
          <w:b/>
          <w:bCs/>
          <w:color w:val="FF0000"/>
        </w:rPr>
      </w:pPr>
      <w:hyperlink r:id="rId27" w:history="1">
        <w:r w:rsidR="00925619" w:rsidRPr="00A41A49">
          <w:rPr>
            <w:rStyle w:val="Hyperlink"/>
            <w:b/>
            <w:bCs/>
            <w:color w:val="FF0000"/>
          </w:rPr>
          <w:t>Educator top tips</w:t>
        </w:r>
      </w:hyperlink>
    </w:p>
    <w:p w14:paraId="3981EADD" w14:textId="042E932E" w:rsidR="00925619" w:rsidRPr="00A41A49" w:rsidRDefault="009C325A" w:rsidP="00490B53">
      <w:pPr>
        <w:rPr>
          <w:b/>
          <w:bCs/>
          <w:color w:val="FF0000"/>
        </w:rPr>
      </w:pPr>
      <w:hyperlink r:id="rId28" w:history="1">
        <w:r w:rsidR="00925619" w:rsidRPr="00A41A49">
          <w:rPr>
            <w:rStyle w:val="Hyperlink"/>
            <w:b/>
            <w:bCs/>
            <w:color w:val="FF0000"/>
          </w:rPr>
          <w:t>Guidance on avoiding low challenge cases</w:t>
        </w:r>
      </w:hyperlink>
    </w:p>
    <w:p w14:paraId="09D0FD3E" w14:textId="11DED4ED" w:rsidR="00576773" w:rsidRPr="00A41A49" w:rsidRDefault="009C325A" w:rsidP="00490B53">
      <w:pPr>
        <w:rPr>
          <w:b/>
          <w:bCs/>
          <w:color w:val="FF0000"/>
        </w:rPr>
      </w:pPr>
      <w:hyperlink r:id="rId29" w:history="1">
        <w:r w:rsidR="00576773" w:rsidRPr="00A41A49">
          <w:rPr>
            <w:rStyle w:val="Hyperlink"/>
            <w:b/>
            <w:bCs/>
            <w:color w:val="FF0000"/>
          </w:rPr>
          <w:t>Guidance on consent</w:t>
        </w:r>
      </w:hyperlink>
    </w:p>
    <w:p w14:paraId="65227B56" w14:textId="6B0C928A" w:rsidR="00B13D42" w:rsidRDefault="009C325A" w:rsidP="00490B53">
      <w:pPr>
        <w:rPr>
          <w:rStyle w:val="Hyperlink"/>
          <w:b/>
          <w:bCs/>
          <w:color w:val="FF0000"/>
        </w:rPr>
      </w:pPr>
      <w:hyperlink r:id="rId30" w:history="1">
        <w:r w:rsidR="00B13D42" w:rsidRPr="00A41A49">
          <w:rPr>
            <w:rStyle w:val="Hyperlink"/>
            <w:b/>
            <w:bCs/>
            <w:color w:val="FF0000"/>
          </w:rPr>
          <w:t>Fourteen Fish Guidance on Recordings</w:t>
        </w:r>
      </w:hyperlink>
    </w:p>
    <w:p w14:paraId="34D33B08" w14:textId="7312E6FC" w:rsidR="005406E8" w:rsidRDefault="009C325A" w:rsidP="005406E8">
      <w:pPr>
        <w:pStyle w:val="ListBullet"/>
        <w:numPr>
          <w:ilvl w:val="0"/>
          <w:numId w:val="0"/>
        </w:numPr>
        <w:ind w:left="216" w:hanging="216"/>
        <w:rPr>
          <w:b/>
          <w:bCs/>
        </w:rPr>
      </w:pPr>
      <w:hyperlink r:id="rId31" w:history="1">
        <w:r w:rsidR="005406E8" w:rsidRPr="007D6641">
          <w:rPr>
            <w:rStyle w:val="Hyperlink"/>
            <w:b/>
            <w:bCs/>
          </w:rPr>
          <w:t xml:space="preserve">Guide to the </w:t>
        </w:r>
        <w:proofErr w:type="gramStart"/>
        <w:r w:rsidR="005406E8" w:rsidRPr="007D6641">
          <w:rPr>
            <w:rStyle w:val="Hyperlink"/>
            <w:b/>
            <w:bCs/>
          </w:rPr>
          <w:t>North West</w:t>
        </w:r>
        <w:proofErr w:type="gramEnd"/>
        <w:r w:rsidR="005406E8" w:rsidRPr="007D6641">
          <w:rPr>
            <w:rStyle w:val="Hyperlink"/>
            <w:b/>
            <w:bCs/>
          </w:rPr>
          <w:t xml:space="preserve"> Consultation Toolkit</w:t>
        </w:r>
      </w:hyperlink>
    </w:p>
    <w:p w14:paraId="694B914C" w14:textId="77777777" w:rsidR="005406E8" w:rsidRDefault="009C325A" w:rsidP="005406E8">
      <w:pPr>
        <w:pStyle w:val="ListBullet"/>
        <w:numPr>
          <w:ilvl w:val="0"/>
          <w:numId w:val="0"/>
        </w:numPr>
        <w:rPr>
          <w:b/>
          <w:bCs/>
        </w:rPr>
      </w:pPr>
      <w:hyperlink r:id="rId32" w:history="1">
        <w:r w:rsidR="005406E8" w:rsidRPr="007D6641">
          <w:rPr>
            <w:rStyle w:val="Hyperlink"/>
            <w:b/>
            <w:bCs/>
          </w:rPr>
          <w:t>Using the toolkit: an example</w:t>
        </w:r>
      </w:hyperlink>
    </w:p>
    <w:p w14:paraId="373437C0" w14:textId="77777777" w:rsidR="005406E8" w:rsidRPr="007D6641" w:rsidRDefault="005406E8" w:rsidP="005406E8">
      <w:pPr>
        <w:pStyle w:val="ListBullet"/>
        <w:numPr>
          <w:ilvl w:val="0"/>
          <w:numId w:val="0"/>
        </w:numPr>
        <w:ind w:left="216" w:hanging="216"/>
        <w:rPr>
          <w:b/>
          <w:bCs/>
        </w:rPr>
      </w:pPr>
    </w:p>
    <w:p w14:paraId="6C214D28" w14:textId="5499EBBE" w:rsidR="00640AE3" w:rsidRDefault="00640AE3" w:rsidP="00490B53">
      <w:pPr>
        <w:rPr>
          <w:rStyle w:val="Hyperlink"/>
          <w:b/>
          <w:bCs/>
          <w:color w:val="FF0000"/>
        </w:rPr>
      </w:pPr>
    </w:p>
    <w:p w14:paraId="276275CB" w14:textId="49588A42" w:rsidR="00994391" w:rsidRPr="00554DE2" w:rsidRDefault="00554DE2" w:rsidP="00554DE2">
      <w:pPr>
        <w:jc w:val="center"/>
        <w:rPr>
          <w:sz w:val="28"/>
          <w:szCs w:val="28"/>
        </w:rPr>
      </w:pPr>
      <w:r w:rsidRPr="00554DE2">
        <w:rPr>
          <w:sz w:val="28"/>
          <w:szCs w:val="28"/>
        </w:rPr>
        <w:t>Success is the beginning!</w:t>
      </w:r>
    </w:p>
    <w:p w14:paraId="2FF5CDBD" w14:textId="45DA8A06" w:rsidR="00640AE3" w:rsidRPr="00A41A49" w:rsidRDefault="00994391" w:rsidP="00266AC9">
      <w:pPr>
        <w:jc w:val="center"/>
        <w:rPr>
          <w:b/>
          <w:bCs/>
          <w:color w:val="FF0000"/>
        </w:rPr>
      </w:pPr>
      <w:r>
        <w:t>Remember when you pass this exam you are in a great position to be commencing a career in General Practice but the learning and reflection you will have demonstrated to achieve success, is part of a career long process as a General Practitioner.</w:t>
      </w:r>
    </w:p>
    <w:sectPr w:rsidR="00640AE3" w:rsidRPr="00A41A49" w:rsidSect="000B6BD0">
      <w:headerReference w:type="default" r:id="rId33"/>
      <w:footerReference w:type="default" r:id="rId34"/>
      <w:headerReference w:type="first" r:id="rId35"/>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0B05" w14:textId="77777777" w:rsidR="0037024C" w:rsidRDefault="0037024C">
      <w:r>
        <w:separator/>
      </w:r>
    </w:p>
  </w:endnote>
  <w:endnote w:type="continuationSeparator" w:id="0">
    <w:p w14:paraId="6B1A1EE8" w14:textId="77777777" w:rsidR="0037024C" w:rsidRDefault="0037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ahoma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83C9" w14:textId="7AAE5A7E" w:rsidR="00F926F6" w:rsidRDefault="000B6D62" w:rsidP="006E591C">
    <w:pPr>
      <w:pStyle w:val="Footer"/>
      <w:jc w:val="right"/>
    </w:pPr>
    <w:r>
      <w:rPr>
        <w:lang w:val="en-GB" w:bidi="en-GB"/>
      </w:rPr>
      <w:t xml:space="preserve">November </w:t>
    </w:r>
    <w:r w:rsidR="003E1172">
      <w:rPr>
        <w:lang w:val="en-GB" w:bidi="en-GB"/>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F31F" w14:textId="77777777" w:rsidR="0037024C" w:rsidRDefault="0037024C">
      <w:r>
        <w:separator/>
      </w:r>
    </w:p>
  </w:footnote>
  <w:footnote w:type="continuationSeparator" w:id="0">
    <w:p w14:paraId="46740F0F" w14:textId="77777777" w:rsidR="0037024C" w:rsidRDefault="0037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C3A9" w14:textId="77777777" w:rsidR="00F926F6" w:rsidRDefault="001D3646">
    <w:r>
      <w:rPr>
        <w:noProof/>
        <w:lang w:eastAsia="zh-CN" w:bidi="he-IL"/>
      </w:rPr>
      <mc:AlternateContent>
        <mc:Choice Requires="wps">
          <w:drawing>
            <wp:anchor distT="0" distB="0" distL="114300" distR="114300" simplePos="0" relativeHeight="251665408" behindDoc="1" locked="0" layoutInCell="1" allowOverlap="1" wp14:anchorId="2CE0EF51" wp14:editId="36E07C34">
              <wp:simplePos x="876300" y="457200"/>
              <wp:positionH relativeFrom="page">
                <wp:align>center</wp:align>
              </wp:positionH>
              <wp:positionV relativeFrom="page">
                <wp:align>center</wp:align>
              </wp:positionV>
              <wp:extent cx="5013960" cy="7205980"/>
              <wp:effectExtent l="0" t="0" r="0" b="0"/>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chemeClr val="tx2">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46A38572"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" path="m,l5013960,r,7205980l,7205980,,xm130564,130564r,6944852l4883396,7075416r,-6944852l130564,130564xe" fillcolor="#a9a7bb [1311]"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D251" w14:textId="241CA7E6" w:rsidR="00F926F6" w:rsidRDefault="00DC438C" w:rsidP="00DC438C">
    <w:pPr>
      <w:jc w:val="right"/>
    </w:pPr>
    <w:r>
      <w:rPr>
        <w:noProof/>
        <w:lang w:eastAsia="zh-CN" w:bidi="he-IL"/>
      </w:rPr>
      <w:drawing>
        <wp:inline distT="0" distB="0" distL="0" distR="0" wp14:anchorId="7A61ED1B" wp14:editId="5627AC89">
          <wp:extent cx="1550117" cy="392430"/>
          <wp:effectExtent l="0" t="0" r="0" b="127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2907" cy="405794"/>
                  </a:xfrm>
                  <a:prstGeom prst="rect">
                    <a:avLst/>
                  </a:prstGeom>
                </pic:spPr>
              </pic:pic>
            </a:graphicData>
          </a:graphic>
        </wp:inline>
      </w:drawing>
    </w:r>
    <w:r w:rsidR="001D3646">
      <w:rPr>
        <w:noProof/>
        <w:lang w:eastAsia="zh-CN" w:bidi="he-IL"/>
      </w:rPr>
      <mc:AlternateContent>
        <mc:Choice Requires="wpg">
          <w:drawing>
            <wp:anchor distT="0" distB="0" distL="114300" distR="114300" simplePos="0" relativeHeight="251663360" behindDoc="1" locked="0" layoutInCell="1" allowOverlap="1" wp14:anchorId="460CBAC8" wp14:editId="623F710A">
              <wp:simplePos x="0" y="0"/>
              <wp:positionH relativeFrom="page">
                <wp:align>center</wp:align>
              </wp:positionH>
              <wp:positionV relativeFrom="page">
                <wp:align>center</wp:align>
              </wp:positionV>
              <wp:extent cx="5012690" cy="7207250"/>
              <wp:effectExtent l="0" t="0" r="0" b="0"/>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7FFF0FBF" w14:textId="77777777" w:rsidR="00F926F6" w:rsidRDefault="00F926F6">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460CBAC8" id="Group 4" o:spid="_x0000_s1026" alt="Title: Page frame with tab" style="position:absolute;left:0;text-align:left;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">
              <v:shape id="Frame 5" o:spid="_x0000_s1027" style="position:absolute;left:1333;width:73152;height:96012;visibility:visible;mso-wrap-style:square;v-text-anchor:middle" coordsize="73152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" path="m,l7315200,r,9601200l,9601200,,xm190488,190488r,9220224l7124712,9410712r,-9220224l190488,190488xe" fillcolor="#a9a7bb [1311]"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7FFF0FBF" w14:textId="77777777" w:rsidR="00F926F6" w:rsidRDefault="00F926F6">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4B021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3779"/>
    <w:multiLevelType w:val="multilevel"/>
    <w:tmpl w:val="C0843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EF79D4"/>
    <w:multiLevelType w:val="hybridMultilevel"/>
    <w:tmpl w:val="1678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FE3318"/>
    <w:multiLevelType w:val="hybridMultilevel"/>
    <w:tmpl w:val="B18A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73492A"/>
    <w:multiLevelType w:val="hybridMultilevel"/>
    <w:tmpl w:val="4648A60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4" w15:restartNumberingAfterBreak="0">
    <w:nsid w:val="11760A76"/>
    <w:multiLevelType w:val="hybridMultilevel"/>
    <w:tmpl w:val="E8B85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2021034"/>
    <w:multiLevelType w:val="multilevel"/>
    <w:tmpl w:val="898E7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DB20E8"/>
    <w:multiLevelType w:val="hybridMultilevel"/>
    <w:tmpl w:val="5ED0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306D95"/>
    <w:multiLevelType w:val="multilevel"/>
    <w:tmpl w:val="7CA8B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42970A1"/>
    <w:multiLevelType w:val="hybridMultilevel"/>
    <w:tmpl w:val="414C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F64C28"/>
    <w:multiLevelType w:val="hybridMultilevel"/>
    <w:tmpl w:val="C78CF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F0DE0"/>
    <w:multiLevelType w:val="hybridMultilevel"/>
    <w:tmpl w:val="F2321054"/>
    <w:lvl w:ilvl="0" w:tplc="BDF292CA">
      <w:start w:val="1"/>
      <w:numFmt w:val="bullet"/>
      <w:lvlText w:val="•"/>
      <w:lvlJc w:val="left"/>
      <w:pPr>
        <w:tabs>
          <w:tab w:val="num" w:pos="720"/>
        </w:tabs>
        <w:ind w:left="720" w:hanging="360"/>
      </w:pPr>
      <w:rPr>
        <w:rFonts w:ascii="Arial" w:hAnsi="Arial" w:hint="default"/>
      </w:rPr>
    </w:lvl>
    <w:lvl w:ilvl="1" w:tplc="D26064DC" w:tentative="1">
      <w:start w:val="1"/>
      <w:numFmt w:val="bullet"/>
      <w:lvlText w:val="•"/>
      <w:lvlJc w:val="left"/>
      <w:pPr>
        <w:tabs>
          <w:tab w:val="num" w:pos="1440"/>
        </w:tabs>
        <w:ind w:left="1440" w:hanging="360"/>
      </w:pPr>
      <w:rPr>
        <w:rFonts w:ascii="Arial" w:hAnsi="Arial" w:hint="default"/>
      </w:rPr>
    </w:lvl>
    <w:lvl w:ilvl="2" w:tplc="DDB4D8A2" w:tentative="1">
      <w:start w:val="1"/>
      <w:numFmt w:val="bullet"/>
      <w:lvlText w:val="•"/>
      <w:lvlJc w:val="left"/>
      <w:pPr>
        <w:tabs>
          <w:tab w:val="num" w:pos="2160"/>
        </w:tabs>
        <w:ind w:left="2160" w:hanging="360"/>
      </w:pPr>
      <w:rPr>
        <w:rFonts w:ascii="Arial" w:hAnsi="Arial" w:hint="default"/>
      </w:rPr>
    </w:lvl>
    <w:lvl w:ilvl="3" w:tplc="5FF841C2" w:tentative="1">
      <w:start w:val="1"/>
      <w:numFmt w:val="bullet"/>
      <w:lvlText w:val="•"/>
      <w:lvlJc w:val="left"/>
      <w:pPr>
        <w:tabs>
          <w:tab w:val="num" w:pos="2880"/>
        </w:tabs>
        <w:ind w:left="2880" w:hanging="360"/>
      </w:pPr>
      <w:rPr>
        <w:rFonts w:ascii="Arial" w:hAnsi="Arial" w:hint="default"/>
      </w:rPr>
    </w:lvl>
    <w:lvl w:ilvl="4" w:tplc="231C34DC" w:tentative="1">
      <w:start w:val="1"/>
      <w:numFmt w:val="bullet"/>
      <w:lvlText w:val="•"/>
      <w:lvlJc w:val="left"/>
      <w:pPr>
        <w:tabs>
          <w:tab w:val="num" w:pos="3600"/>
        </w:tabs>
        <w:ind w:left="3600" w:hanging="360"/>
      </w:pPr>
      <w:rPr>
        <w:rFonts w:ascii="Arial" w:hAnsi="Arial" w:hint="default"/>
      </w:rPr>
    </w:lvl>
    <w:lvl w:ilvl="5" w:tplc="2A0C62F0" w:tentative="1">
      <w:start w:val="1"/>
      <w:numFmt w:val="bullet"/>
      <w:lvlText w:val="•"/>
      <w:lvlJc w:val="left"/>
      <w:pPr>
        <w:tabs>
          <w:tab w:val="num" w:pos="4320"/>
        </w:tabs>
        <w:ind w:left="4320" w:hanging="360"/>
      </w:pPr>
      <w:rPr>
        <w:rFonts w:ascii="Arial" w:hAnsi="Arial" w:hint="default"/>
      </w:rPr>
    </w:lvl>
    <w:lvl w:ilvl="6" w:tplc="3020C9B2" w:tentative="1">
      <w:start w:val="1"/>
      <w:numFmt w:val="bullet"/>
      <w:lvlText w:val="•"/>
      <w:lvlJc w:val="left"/>
      <w:pPr>
        <w:tabs>
          <w:tab w:val="num" w:pos="5040"/>
        </w:tabs>
        <w:ind w:left="5040" w:hanging="360"/>
      </w:pPr>
      <w:rPr>
        <w:rFonts w:ascii="Arial" w:hAnsi="Arial" w:hint="default"/>
      </w:rPr>
    </w:lvl>
    <w:lvl w:ilvl="7" w:tplc="3E48BCAC" w:tentative="1">
      <w:start w:val="1"/>
      <w:numFmt w:val="bullet"/>
      <w:lvlText w:val="•"/>
      <w:lvlJc w:val="left"/>
      <w:pPr>
        <w:tabs>
          <w:tab w:val="num" w:pos="5760"/>
        </w:tabs>
        <w:ind w:left="5760" w:hanging="360"/>
      </w:pPr>
      <w:rPr>
        <w:rFonts w:ascii="Arial" w:hAnsi="Arial" w:hint="default"/>
      </w:rPr>
    </w:lvl>
    <w:lvl w:ilvl="8" w:tplc="9C54AC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3A7612"/>
    <w:multiLevelType w:val="hybridMultilevel"/>
    <w:tmpl w:val="C42A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0490C"/>
    <w:multiLevelType w:val="hybridMultilevel"/>
    <w:tmpl w:val="505A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228DF"/>
    <w:multiLevelType w:val="hybridMultilevel"/>
    <w:tmpl w:val="5A749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EB3FEA"/>
    <w:multiLevelType w:val="hybridMultilevel"/>
    <w:tmpl w:val="76E0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D7B01"/>
    <w:multiLevelType w:val="hybridMultilevel"/>
    <w:tmpl w:val="4FA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416C3"/>
    <w:multiLevelType w:val="hybridMultilevel"/>
    <w:tmpl w:val="C38A3D82"/>
    <w:lvl w:ilvl="0" w:tplc="F1084306">
      <w:start w:val="1"/>
      <w:numFmt w:val="bullet"/>
      <w:pStyle w:val="ListBullet"/>
      <w:lvlText w:val=""/>
      <w:lvlJc w:val="left"/>
      <w:pPr>
        <w:tabs>
          <w:tab w:val="num" w:pos="216"/>
        </w:tabs>
        <w:ind w:left="216" w:hanging="216"/>
      </w:pPr>
      <w:rPr>
        <w:rFonts w:ascii="Wingdings" w:hAnsi="Wingdings" w:hint="default"/>
        <w:color w:val="3494BA"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A0299"/>
    <w:multiLevelType w:val="hybridMultilevel"/>
    <w:tmpl w:val="053AC1BA"/>
    <w:lvl w:ilvl="0" w:tplc="E3328D1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65033"/>
    <w:multiLevelType w:val="hybridMultilevel"/>
    <w:tmpl w:val="FB7C8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767F4"/>
    <w:multiLevelType w:val="hybridMultilevel"/>
    <w:tmpl w:val="AC16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727C9"/>
    <w:multiLevelType w:val="hybridMultilevel"/>
    <w:tmpl w:val="1FA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875A3"/>
    <w:multiLevelType w:val="multilevel"/>
    <w:tmpl w:val="59C0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230F3C"/>
    <w:multiLevelType w:val="multilevel"/>
    <w:tmpl w:val="451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2F756C"/>
    <w:multiLevelType w:val="hybridMultilevel"/>
    <w:tmpl w:val="0DF0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0"/>
  </w:num>
  <w:num w:numId="15">
    <w:abstractNumId w:val="11"/>
  </w:num>
  <w:num w:numId="16">
    <w:abstractNumId w:val="20"/>
  </w:num>
  <w:num w:numId="17">
    <w:abstractNumId w:val="34"/>
  </w:num>
  <w:num w:numId="18">
    <w:abstractNumId w:val="17"/>
  </w:num>
  <w:num w:numId="19">
    <w:abstractNumId w:val="29"/>
  </w:num>
  <w:num w:numId="20">
    <w:abstractNumId w:val="12"/>
  </w:num>
  <w:num w:numId="21">
    <w:abstractNumId w:val="33"/>
  </w:num>
  <w:num w:numId="22">
    <w:abstractNumId w:val="15"/>
  </w:num>
  <w:num w:numId="23">
    <w:abstractNumId w:val="10"/>
  </w:num>
  <w:num w:numId="24">
    <w:abstractNumId w:val="18"/>
  </w:num>
  <w:num w:numId="25">
    <w:abstractNumId w:val="28"/>
  </w:num>
  <w:num w:numId="26">
    <w:abstractNumId w:val="23"/>
  </w:num>
  <w:num w:numId="27">
    <w:abstractNumId w:val="21"/>
  </w:num>
  <w:num w:numId="28">
    <w:abstractNumId w:val="32"/>
  </w:num>
  <w:num w:numId="29">
    <w:abstractNumId w:val="24"/>
  </w:num>
  <w:num w:numId="30">
    <w:abstractNumId w:val="26"/>
  </w:num>
  <w:num w:numId="31">
    <w:abstractNumId w:val="14"/>
  </w:num>
  <w:num w:numId="32">
    <w:abstractNumId w:val="25"/>
  </w:num>
  <w:num w:numId="33">
    <w:abstractNumId w:val="13"/>
  </w:num>
  <w:num w:numId="34">
    <w:abstractNumId w:val="22"/>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A6"/>
    <w:rsid w:val="000033A3"/>
    <w:rsid w:val="00004A45"/>
    <w:rsid w:val="000101AB"/>
    <w:rsid w:val="00013205"/>
    <w:rsid w:val="00020A0E"/>
    <w:rsid w:val="000240B2"/>
    <w:rsid w:val="00032390"/>
    <w:rsid w:val="00047A51"/>
    <w:rsid w:val="00053672"/>
    <w:rsid w:val="000864F7"/>
    <w:rsid w:val="0009536E"/>
    <w:rsid w:val="000A009D"/>
    <w:rsid w:val="000B5F90"/>
    <w:rsid w:val="000B6BD0"/>
    <w:rsid w:val="000B6D62"/>
    <w:rsid w:val="000C62E1"/>
    <w:rsid w:val="000D7871"/>
    <w:rsid w:val="000E0954"/>
    <w:rsid w:val="000E19F1"/>
    <w:rsid w:val="0011554E"/>
    <w:rsid w:val="001276AF"/>
    <w:rsid w:val="00130BBB"/>
    <w:rsid w:val="0015172E"/>
    <w:rsid w:val="00172856"/>
    <w:rsid w:val="0019044D"/>
    <w:rsid w:val="001A7086"/>
    <w:rsid w:val="001C0C83"/>
    <w:rsid w:val="001C22B3"/>
    <w:rsid w:val="001C4D71"/>
    <w:rsid w:val="001D3646"/>
    <w:rsid w:val="001F2D33"/>
    <w:rsid w:val="001F3D15"/>
    <w:rsid w:val="00205D06"/>
    <w:rsid w:val="00211DB3"/>
    <w:rsid w:val="002458B1"/>
    <w:rsid w:val="00247158"/>
    <w:rsid w:val="00254448"/>
    <w:rsid w:val="002547B7"/>
    <w:rsid w:val="002627A8"/>
    <w:rsid w:val="00266AC9"/>
    <w:rsid w:val="00280566"/>
    <w:rsid w:val="002C06FA"/>
    <w:rsid w:val="002F4D6D"/>
    <w:rsid w:val="002F6B02"/>
    <w:rsid w:val="002F73E3"/>
    <w:rsid w:val="00300116"/>
    <w:rsid w:val="0031155A"/>
    <w:rsid w:val="00313AFF"/>
    <w:rsid w:val="00316004"/>
    <w:rsid w:val="003229F5"/>
    <w:rsid w:val="00335805"/>
    <w:rsid w:val="00340BE5"/>
    <w:rsid w:val="0036533C"/>
    <w:rsid w:val="0037024C"/>
    <w:rsid w:val="0038742E"/>
    <w:rsid w:val="003A497B"/>
    <w:rsid w:val="003A762C"/>
    <w:rsid w:val="003B0D3A"/>
    <w:rsid w:val="003B73B0"/>
    <w:rsid w:val="003E1172"/>
    <w:rsid w:val="003E1F10"/>
    <w:rsid w:val="003F50C3"/>
    <w:rsid w:val="003F5EB2"/>
    <w:rsid w:val="0040533B"/>
    <w:rsid w:val="004067AB"/>
    <w:rsid w:val="004238F0"/>
    <w:rsid w:val="00433A0F"/>
    <w:rsid w:val="00465268"/>
    <w:rsid w:val="004852CC"/>
    <w:rsid w:val="00490B53"/>
    <w:rsid w:val="00492B27"/>
    <w:rsid w:val="004B0BEA"/>
    <w:rsid w:val="004C4196"/>
    <w:rsid w:val="004C5132"/>
    <w:rsid w:val="004D2A05"/>
    <w:rsid w:val="004D37DF"/>
    <w:rsid w:val="004F1D53"/>
    <w:rsid w:val="004F2A72"/>
    <w:rsid w:val="00501347"/>
    <w:rsid w:val="00516DAF"/>
    <w:rsid w:val="00527CC9"/>
    <w:rsid w:val="005406E8"/>
    <w:rsid w:val="0055003C"/>
    <w:rsid w:val="00554DE2"/>
    <w:rsid w:val="00564AF9"/>
    <w:rsid w:val="0056641D"/>
    <w:rsid w:val="00571050"/>
    <w:rsid w:val="0057348A"/>
    <w:rsid w:val="00576773"/>
    <w:rsid w:val="00594860"/>
    <w:rsid w:val="00597D53"/>
    <w:rsid w:val="005C1711"/>
    <w:rsid w:val="005E4C7F"/>
    <w:rsid w:val="00602ED4"/>
    <w:rsid w:val="00633BDA"/>
    <w:rsid w:val="00640AE3"/>
    <w:rsid w:val="006410B2"/>
    <w:rsid w:val="006428AE"/>
    <w:rsid w:val="00645470"/>
    <w:rsid w:val="00647FBF"/>
    <w:rsid w:val="00665344"/>
    <w:rsid w:val="006B08B4"/>
    <w:rsid w:val="006C0D15"/>
    <w:rsid w:val="006C3C9F"/>
    <w:rsid w:val="006E57AA"/>
    <w:rsid w:val="006E591C"/>
    <w:rsid w:val="006F01E2"/>
    <w:rsid w:val="00701A94"/>
    <w:rsid w:val="00740E99"/>
    <w:rsid w:val="00751129"/>
    <w:rsid w:val="00755E49"/>
    <w:rsid w:val="00763A00"/>
    <w:rsid w:val="007A4009"/>
    <w:rsid w:val="007A7FAE"/>
    <w:rsid w:val="007B06CA"/>
    <w:rsid w:val="007B763B"/>
    <w:rsid w:val="007C4AF4"/>
    <w:rsid w:val="007C62CD"/>
    <w:rsid w:val="007D031C"/>
    <w:rsid w:val="007D2CCE"/>
    <w:rsid w:val="007D6641"/>
    <w:rsid w:val="007D7FDB"/>
    <w:rsid w:val="0080663E"/>
    <w:rsid w:val="00825BEA"/>
    <w:rsid w:val="008437DD"/>
    <w:rsid w:val="00847AED"/>
    <w:rsid w:val="008520FC"/>
    <w:rsid w:val="00860F5A"/>
    <w:rsid w:val="00861266"/>
    <w:rsid w:val="008768DC"/>
    <w:rsid w:val="008A1630"/>
    <w:rsid w:val="008A451F"/>
    <w:rsid w:val="008A47E6"/>
    <w:rsid w:val="008B4EDF"/>
    <w:rsid w:val="008B7776"/>
    <w:rsid w:val="008C1DD7"/>
    <w:rsid w:val="008D00DD"/>
    <w:rsid w:val="008D4829"/>
    <w:rsid w:val="008E34DA"/>
    <w:rsid w:val="008E4867"/>
    <w:rsid w:val="008F18A1"/>
    <w:rsid w:val="008F32ED"/>
    <w:rsid w:val="008F76FF"/>
    <w:rsid w:val="0090127B"/>
    <w:rsid w:val="00905827"/>
    <w:rsid w:val="00922306"/>
    <w:rsid w:val="00925619"/>
    <w:rsid w:val="009271DE"/>
    <w:rsid w:val="00931ABE"/>
    <w:rsid w:val="0096561E"/>
    <w:rsid w:val="0097605B"/>
    <w:rsid w:val="00993521"/>
    <w:rsid w:val="00994391"/>
    <w:rsid w:val="009A172E"/>
    <w:rsid w:val="009A32D8"/>
    <w:rsid w:val="009C325A"/>
    <w:rsid w:val="009E31AB"/>
    <w:rsid w:val="009E7D1F"/>
    <w:rsid w:val="009F2A69"/>
    <w:rsid w:val="009F2F6C"/>
    <w:rsid w:val="009F5105"/>
    <w:rsid w:val="00A04136"/>
    <w:rsid w:val="00A0559E"/>
    <w:rsid w:val="00A065AC"/>
    <w:rsid w:val="00A31778"/>
    <w:rsid w:val="00A41A49"/>
    <w:rsid w:val="00A51D77"/>
    <w:rsid w:val="00A55A0F"/>
    <w:rsid w:val="00A57242"/>
    <w:rsid w:val="00A605F4"/>
    <w:rsid w:val="00A71E76"/>
    <w:rsid w:val="00A74E3A"/>
    <w:rsid w:val="00A907FE"/>
    <w:rsid w:val="00AA4647"/>
    <w:rsid w:val="00AA5141"/>
    <w:rsid w:val="00AB0D3A"/>
    <w:rsid w:val="00AC4E94"/>
    <w:rsid w:val="00AC7424"/>
    <w:rsid w:val="00AD7121"/>
    <w:rsid w:val="00AD7876"/>
    <w:rsid w:val="00AE0DCB"/>
    <w:rsid w:val="00B01EA6"/>
    <w:rsid w:val="00B13D42"/>
    <w:rsid w:val="00B16A90"/>
    <w:rsid w:val="00B2587F"/>
    <w:rsid w:val="00B4455E"/>
    <w:rsid w:val="00B6083A"/>
    <w:rsid w:val="00B70D7D"/>
    <w:rsid w:val="00B84F01"/>
    <w:rsid w:val="00B855EE"/>
    <w:rsid w:val="00B869D9"/>
    <w:rsid w:val="00BA5D97"/>
    <w:rsid w:val="00BB7226"/>
    <w:rsid w:val="00BC6270"/>
    <w:rsid w:val="00BF3BFC"/>
    <w:rsid w:val="00C20207"/>
    <w:rsid w:val="00C20B8B"/>
    <w:rsid w:val="00C213C0"/>
    <w:rsid w:val="00C300F5"/>
    <w:rsid w:val="00C47E4B"/>
    <w:rsid w:val="00C523EC"/>
    <w:rsid w:val="00C56EED"/>
    <w:rsid w:val="00C806D3"/>
    <w:rsid w:val="00C91C8D"/>
    <w:rsid w:val="00CA4EED"/>
    <w:rsid w:val="00CC58D0"/>
    <w:rsid w:val="00CC64F9"/>
    <w:rsid w:val="00CD6A5F"/>
    <w:rsid w:val="00CE10A6"/>
    <w:rsid w:val="00CE4B13"/>
    <w:rsid w:val="00CE69D8"/>
    <w:rsid w:val="00D04FB9"/>
    <w:rsid w:val="00D07B3D"/>
    <w:rsid w:val="00D11555"/>
    <w:rsid w:val="00D20AD7"/>
    <w:rsid w:val="00D23EE0"/>
    <w:rsid w:val="00D24C90"/>
    <w:rsid w:val="00D268F3"/>
    <w:rsid w:val="00D26CE9"/>
    <w:rsid w:val="00D30B76"/>
    <w:rsid w:val="00D41F6A"/>
    <w:rsid w:val="00D5033E"/>
    <w:rsid w:val="00D537E2"/>
    <w:rsid w:val="00D57DF4"/>
    <w:rsid w:val="00D65153"/>
    <w:rsid w:val="00D920B7"/>
    <w:rsid w:val="00D92B7E"/>
    <w:rsid w:val="00DA0CAF"/>
    <w:rsid w:val="00DA164F"/>
    <w:rsid w:val="00DA4E31"/>
    <w:rsid w:val="00DC1697"/>
    <w:rsid w:val="00DC264E"/>
    <w:rsid w:val="00DC438C"/>
    <w:rsid w:val="00DC62C4"/>
    <w:rsid w:val="00DC6FF1"/>
    <w:rsid w:val="00DD2094"/>
    <w:rsid w:val="00DD2500"/>
    <w:rsid w:val="00DD66C4"/>
    <w:rsid w:val="00DE3BBC"/>
    <w:rsid w:val="00E02136"/>
    <w:rsid w:val="00E04A42"/>
    <w:rsid w:val="00E2215D"/>
    <w:rsid w:val="00E31375"/>
    <w:rsid w:val="00E34A1F"/>
    <w:rsid w:val="00E37863"/>
    <w:rsid w:val="00E40F68"/>
    <w:rsid w:val="00E41729"/>
    <w:rsid w:val="00E66F38"/>
    <w:rsid w:val="00E82136"/>
    <w:rsid w:val="00E93EE7"/>
    <w:rsid w:val="00E97DE0"/>
    <w:rsid w:val="00EC2B44"/>
    <w:rsid w:val="00EC5239"/>
    <w:rsid w:val="00ED1386"/>
    <w:rsid w:val="00ED277C"/>
    <w:rsid w:val="00EF328F"/>
    <w:rsid w:val="00EF52A1"/>
    <w:rsid w:val="00EF5C62"/>
    <w:rsid w:val="00F10643"/>
    <w:rsid w:val="00F175C3"/>
    <w:rsid w:val="00F20265"/>
    <w:rsid w:val="00F53C0B"/>
    <w:rsid w:val="00F55157"/>
    <w:rsid w:val="00F724B5"/>
    <w:rsid w:val="00F73566"/>
    <w:rsid w:val="00F91ECF"/>
    <w:rsid w:val="00F926F6"/>
    <w:rsid w:val="00FA68D8"/>
    <w:rsid w:val="00FB660A"/>
    <w:rsid w:val="00FC5309"/>
    <w:rsid w:val="00FD47A5"/>
    <w:rsid w:val="00FE0CF7"/>
    <w:rsid w:val="00FE461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7D41"/>
  <w15:chartTrackingRefBased/>
  <w15:docId w15:val="{ED1F9F06-D532-E141-B27F-1B89706C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ED"/>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37354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73545" w:themeColor="text2"/>
      <w:sz w:val="22"/>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37354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37354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37354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37354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37354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37354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373545" w:themeColor="text2"/>
      <w:sz w:val="24"/>
      <w:szCs w:val="32"/>
    </w:rPr>
  </w:style>
  <w:style w:type="paragraph" w:customStyle="1" w:styleId="ContactInformation">
    <w:name w:val="Contact Information"/>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37354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7354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37354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37354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37354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373545" w:themeColor="text2"/>
      <w:sz w:val="16"/>
      <w:szCs w:val="21"/>
    </w:rPr>
  </w:style>
  <w:style w:type="character" w:styleId="SubtleEmphasis">
    <w:name w:val="Subtle Emphasis"/>
    <w:basedOn w:val="DefaultParagraphFont"/>
    <w:uiPriority w:val="19"/>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373545" w:themeColor="text2"/>
      <w:sz w:val="24"/>
    </w:rPr>
  </w:style>
  <w:style w:type="character" w:customStyle="1" w:styleId="FooterChar">
    <w:name w:val="Footer Char"/>
    <w:basedOn w:val="DefaultParagraphFont"/>
    <w:link w:val="Footer"/>
    <w:uiPriority w:val="99"/>
    <w:rPr>
      <w:color w:val="373545" w:themeColor="text2"/>
      <w:sz w:val="24"/>
    </w:rPr>
  </w:style>
  <w:style w:type="character" w:customStyle="1" w:styleId="SubtitleChar">
    <w:name w:val="Subtitle Char"/>
    <w:basedOn w:val="DefaultParagraphFont"/>
    <w:link w:val="Subtitle"/>
    <w:uiPriority w:val="11"/>
    <w:rPr>
      <w:rFonts w:asciiTheme="majorHAnsi" w:eastAsiaTheme="minorEastAsia" w:hAnsiTheme="majorHAnsi"/>
      <w:spacing w:val="15"/>
      <w:sz w:val="24"/>
      <w:szCs w:val="22"/>
    </w:rPr>
  </w:style>
  <w:style w:type="character" w:styleId="Emphasis">
    <w:name w:val="Emphasis"/>
    <w:basedOn w:val="DefaultParagraphFont"/>
    <w:uiPriority w:val="20"/>
    <w:unhideWhenUsed/>
    <w:qFormat/>
    <w:rPr>
      <w:i w:val="0"/>
      <w:iCs/>
      <w:color w:val="3494BA"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3494BA"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37354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7354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37354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373545" w:themeColor="text2"/>
      <w:sz w:val="24"/>
    </w:rPr>
  </w:style>
  <w:style w:type="character" w:customStyle="1" w:styleId="DateChar">
    <w:name w:val="Date Char"/>
    <w:basedOn w:val="DefaultParagraphFont"/>
    <w:link w:val="Date"/>
    <w:uiPriority w:val="99"/>
    <w:semiHidden/>
    <w:rPr>
      <w:color w:val="37354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373545" w:themeColor="text2"/>
      <w:sz w:val="24"/>
    </w:rPr>
  </w:style>
  <w:style w:type="character" w:customStyle="1" w:styleId="SalutationChar">
    <w:name w:val="Salutation Char"/>
    <w:basedOn w:val="DefaultParagraphFont"/>
    <w:link w:val="Salutation"/>
    <w:uiPriority w:val="99"/>
    <w:semiHidden/>
    <w:rPr>
      <w:color w:val="37354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373545" w:themeColor="text2"/>
    </w:rPr>
  </w:style>
  <w:style w:type="character" w:customStyle="1" w:styleId="SignatureChar">
    <w:name w:val="Signature Char"/>
    <w:basedOn w:val="DefaultParagraphFont"/>
    <w:link w:val="Signature"/>
    <w:uiPriority w:val="99"/>
    <w:semiHidden/>
    <w:rPr>
      <w:color w:val="373545" w:themeColor="text2"/>
    </w:rPr>
  </w:style>
  <w:style w:type="paragraph" w:styleId="NormalWeb">
    <w:name w:val="Normal (Web)"/>
    <w:basedOn w:val="Normal"/>
    <w:uiPriority w:val="99"/>
    <w:unhideWhenUsed/>
    <w:rsid w:val="008A451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F53C0B"/>
    <w:rPr>
      <w:color w:val="6B9F25" w:themeColor="hyperlink"/>
      <w:u w:val="single"/>
    </w:rPr>
  </w:style>
  <w:style w:type="character" w:styleId="UnresolvedMention">
    <w:name w:val="Unresolved Mention"/>
    <w:basedOn w:val="DefaultParagraphFont"/>
    <w:uiPriority w:val="99"/>
    <w:semiHidden/>
    <w:unhideWhenUsed/>
    <w:rsid w:val="00F53C0B"/>
    <w:rPr>
      <w:color w:val="605E5C"/>
      <w:shd w:val="clear" w:color="auto" w:fill="E1DFDD"/>
    </w:rPr>
  </w:style>
  <w:style w:type="paragraph" w:styleId="BalloonText">
    <w:name w:val="Balloon Text"/>
    <w:basedOn w:val="Normal"/>
    <w:link w:val="BalloonTextChar"/>
    <w:uiPriority w:val="99"/>
    <w:semiHidden/>
    <w:unhideWhenUsed/>
    <w:rsid w:val="008066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6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729"/>
    <w:rPr>
      <w:sz w:val="16"/>
      <w:szCs w:val="16"/>
    </w:rPr>
  </w:style>
  <w:style w:type="paragraph" w:styleId="CommentText">
    <w:name w:val="annotation text"/>
    <w:basedOn w:val="Normal"/>
    <w:link w:val="CommentTextChar"/>
    <w:uiPriority w:val="99"/>
    <w:semiHidden/>
    <w:unhideWhenUsed/>
    <w:rsid w:val="00E41729"/>
    <w:pPr>
      <w:spacing w:line="240" w:lineRule="auto"/>
    </w:pPr>
  </w:style>
  <w:style w:type="character" w:customStyle="1" w:styleId="CommentTextChar">
    <w:name w:val="Comment Text Char"/>
    <w:basedOn w:val="DefaultParagraphFont"/>
    <w:link w:val="CommentText"/>
    <w:uiPriority w:val="99"/>
    <w:semiHidden/>
    <w:rsid w:val="00E41729"/>
  </w:style>
  <w:style w:type="paragraph" w:styleId="CommentSubject">
    <w:name w:val="annotation subject"/>
    <w:basedOn w:val="CommentText"/>
    <w:next w:val="CommentText"/>
    <w:link w:val="CommentSubjectChar"/>
    <w:uiPriority w:val="99"/>
    <w:semiHidden/>
    <w:unhideWhenUsed/>
    <w:rsid w:val="00E41729"/>
    <w:rPr>
      <w:b/>
      <w:bCs/>
    </w:rPr>
  </w:style>
  <w:style w:type="character" w:customStyle="1" w:styleId="CommentSubjectChar">
    <w:name w:val="Comment Subject Char"/>
    <w:basedOn w:val="CommentTextChar"/>
    <w:link w:val="CommentSubject"/>
    <w:uiPriority w:val="99"/>
    <w:semiHidden/>
    <w:rsid w:val="00E41729"/>
    <w:rPr>
      <w:b/>
      <w:bCs/>
    </w:rPr>
  </w:style>
  <w:style w:type="paragraph" w:styleId="Revision">
    <w:name w:val="Revision"/>
    <w:hidden/>
    <w:uiPriority w:val="99"/>
    <w:semiHidden/>
    <w:rsid w:val="001C22B3"/>
    <w:pPr>
      <w:spacing w:after="0" w:line="240" w:lineRule="auto"/>
    </w:pPr>
  </w:style>
  <w:style w:type="character" w:styleId="FollowedHyperlink">
    <w:name w:val="FollowedHyperlink"/>
    <w:basedOn w:val="DefaultParagraphFont"/>
    <w:uiPriority w:val="99"/>
    <w:semiHidden/>
    <w:unhideWhenUsed/>
    <w:rsid w:val="001C22B3"/>
    <w:rPr>
      <w:color w:val="9F6715" w:themeColor="followedHyperlink"/>
      <w:u w:val="single"/>
    </w:rPr>
  </w:style>
  <w:style w:type="character" w:customStyle="1" w:styleId="apple-converted-space">
    <w:name w:val="apple-converted-space"/>
    <w:basedOn w:val="DefaultParagraphFont"/>
    <w:rsid w:val="00E82136"/>
  </w:style>
  <w:style w:type="character" w:customStyle="1" w:styleId="authors">
    <w:name w:val="authors"/>
    <w:basedOn w:val="DefaultParagraphFont"/>
    <w:rsid w:val="00DC1697"/>
  </w:style>
  <w:style w:type="character" w:customStyle="1" w:styleId="Date1">
    <w:name w:val="Date1"/>
    <w:basedOn w:val="DefaultParagraphFont"/>
    <w:rsid w:val="00DC1697"/>
  </w:style>
  <w:style w:type="character" w:customStyle="1" w:styleId="arttitle">
    <w:name w:val="art_title"/>
    <w:basedOn w:val="DefaultParagraphFont"/>
    <w:rsid w:val="00DC1697"/>
  </w:style>
  <w:style w:type="character" w:customStyle="1" w:styleId="serialtitle">
    <w:name w:val="serial_title"/>
    <w:basedOn w:val="DefaultParagraphFont"/>
    <w:rsid w:val="00DC1697"/>
  </w:style>
  <w:style w:type="character" w:customStyle="1" w:styleId="volumeissue">
    <w:name w:val="volume_issue"/>
    <w:basedOn w:val="DefaultParagraphFont"/>
    <w:rsid w:val="00DC1697"/>
  </w:style>
  <w:style w:type="character" w:customStyle="1" w:styleId="pagerange">
    <w:name w:val="page_range"/>
    <w:basedOn w:val="DefaultParagraphFont"/>
    <w:rsid w:val="00DC1697"/>
  </w:style>
  <w:style w:type="character" w:customStyle="1" w:styleId="doilink">
    <w:name w:val="doi_link"/>
    <w:basedOn w:val="DefaultParagraphFont"/>
    <w:rsid w:val="00DC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122">
      <w:bodyDiv w:val="1"/>
      <w:marLeft w:val="0"/>
      <w:marRight w:val="0"/>
      <w:marTop w:val="0"/>
      <w:marBottom w:val="0"/>
      <w:divBdr>
        <w:top w:val="none" w:sz="0" w:space="0" w:color="auto"/>
        <w:left w:val="none" w:sz="0" w:space="0" w:color="auto"/>
        <w:bottom w:val="none" w:sz="0" w:space="0" w:color="auto"/>
        <w:right w:val="none" w:sz="0" w:space="0" w:color="auto"/>
      </w:divBdr>
    </w:div>
    <w:div w:id="162867109">
      <w:bodyDiv w:val="1"/>
      <w:marLeft w:val="0"/>
      <w:marRight w:val="0"/>
      <w:marTop w:val="0"/>
      <w:marBottom w:val="0"/>
      <w:divBdr>
        <w:top w:val="none" w:sz="0" w:space="0" w:color="auto"/>
        <w:left w:val="none" w:sz="0" w:space="0" w:color="auto"/>
        <w:bottom w:val="none" w:sz="0" w:space="0" w:color="auto"/>
        <w:right w:val="none" w:sz="0" w:space="0" w:color="auto"/>
      </w:divBdr>
    </w:div>
    <w:div w:id="271477877">
      <w:bodyDiv w:val="1"/>
      <w:marLeft w:val="0"/>
      <w:marRight w:val="0"/>
      <w:marTop w:val="0"/>
      <w:marBottom w:val="0"/>
      <w:divBdr>
        <w:top w:val="none" w:sz="0" w:space="0" w:color="auto"/>
        <w:left w:val="none" w:sz="0" w:space="0" w:color="auto"/>
        <w:bottom w:val="none" w:sz="0" w:space="0" w:color="auto"/>
        <w:right w:val="none" w:sz="0" w:space="0" w:color="auto"/>
      </w:divBdr>
      <w:divsChild>
        <w:div w:id="2094038289">
          <w:marLeft w:val="547"/>
          <w:marRight w:val="0"/>
          <w:marTop w:val="0"/>
          <w:marBottom w:val="0"/>
          <w:divBdr>
            <w:top w:val="none" w:sz="0" w:space="0" w:color="auto"/>
            <w:left w:val="none" w:sz="0" w:space="0" w:color="auto"/>
            <w:bottom w:val="none" w:sz="0" w:space="0" w:color="auto"/>
            <w:right w:val="none" w:sz="0" w:space="0" w:color="auto"/>
          </w:divBdr>
        </w:div>
      </w:divsChild>
    </w:div>
    <w:div w:id="478426816">
      <w:bodyDiv w:val="1"/>
      <w:marLeft w:val="0"/>
      <w:marRight w:val="0"/>
      <w:marTop w:val="0"/>
      <w:marBottom w:val="0"/>
      <w:divBdr>
        <w:top w:val="none" w:sz="0" w:space="0" w:color="auto"/>
        <w:left w:val="none" w:sz="0" w:space="0" w:color="auto"/>
        <w:bottom w:val="none" w:sz="0" w:space="0" w:color="auto"/>
        <w:right w:val="none" w:sz="0" w:space="0" w:color="auto"/>
      </w:divBdr>
      <w:divsChild>
        <w:div w:id="1796633569">
          <w:marLeft w:val="547"/>
          <w:marRight w:val="0"/>
          <w:marTop w:val="115"/>
          <w:marBottom w:val="0"/>
          <w:divBdr>
            <w:top w:val="none" w:sz="0" w:space="0" w:color="auto"/>
            <w:left w:val="none" w:sz="0" w:space="0" w:color="auto"/>
            <w:bottom w:val="none" w:sz="0" w:space="0" w:color="auto"/>
            <w:right w:val="none" w:sz="0" w:space="0" w:color="auto"/>
          </w:divBdr>
        </w:div>
      </w:divsChild>
    </w:div>
    <w:div w:id="513569654">
      <w:bodyDiv w:val="1"/>
      <w:marLeft w:val="0"/>
      <w:marRight w:val="0"/>
      <w:marTop w:val="0"/>
      <w:marBottom w:val="0"/>
      <w:divBdr>
        <w:top w:val="none" w:sz="0" w:space="0" w:color="auto"/>
        <w:left w:val="none" w:sz="0" w:space="0" w:color="auto"/>
        <w:bottom w:val="none" w:sz="0" w:space="0" w:color="auto"/>
        <w:right w:val="none" w:sz="0" w:space="0" w:color="auto"/>
      </w:divBdr>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2816">
      <w:bodyDiv w:val="1"/>
      <w:marLeft w:val="0"/>
      <w:marRight w:val="0"/>
      <w:marTop w:val="0"/>
      <w:marBottom w:val="0"/>
      <w:divBdr>
        <w:top w:val="none" w:sz="0" w:space="0" w:color="auto"/>
        <w:left w:val="none" w:sz="0" w:space="0" w:color="auto"/>
        <w:bottom w:val="none" w:sz="0" w:space="0" w:color="auto"/>
        <w:right w:val="none" w:sz="0" w:space="0" w:color="auto"/>
      </w:divBdr>
    </w:div>
    <w:div w:id="776490644">
      <w:bodyDiv w:val="1"/>
      <w:marLeft w:val="0"/>
      <w:marRight w:val="0"/>
      <w:marTop w:val="0"/>
      <w:marBottom w:val="0"/>
      <w:divBdr>
        <w:top w:val="none" w:sz="0" w:space="0" w:color="auto"/>
        <w:left w:val="none" w:sz="0" w:space="0" w:color="auto"/>
        <w:bottom w:val="none" w:sz="0" w:space="0" w:color="auto"/>
        <w:right w:val="none" w:sz="0" w:space="0" w:color="auto"/>
      </w:divBdr>
    </w:div>
    <w:div w:id="918246386">
      <w:bodyDiv w:val="1"/>
      <w:marLeft w:val="0"/>
      <w:marRight w:val="0"/>
      <w:marTop w:val="0"/>
      <w:marBottom w:val="0"/>
      <w:divBdr>
        <w:top w:val="none" w:sz="0" w:space="0" w:color="auto"/>
        <w:left w:val="none" w:sz="0" w:space="0" w:color="auto"/>
        <w:bottom w:val="none" w:sz="0" w:space="0" w:color="auto"/>
        <w:right w:val="none" w:sz="0" w:space="0" w:color="auto"/>
      </w:divBdr>
    </w:div>
    <w:div w:id="1012606772">
      <w:bodyDiv w:val="1"/>
      <w:marLeft w:val="0"/>
      <w:marRight w:val="0"/>
      <w:marTop w:val="0"/>
      <w:marBottom w:val="0"/>
      <w:divBdr>
        <w:top w:val="none" w:sz="0" w:space="0" w:color="auto"/>
        <w:left w:val="none" w:sz="0" w:space="0" w:color="auto"/>
        <w:bottom w:val="none" w:sz="0" w:space="0" w:color="auto"/>
        <w:right w:val="none" w:sz="0" w:space="0" w:color="auto"/>
      </w:divBdr>
    </w:div>
    <w:div w:id="1203596776">
      <w:bodyDiv w:val="1"/>
      <w:marLeft w:val="0"/>
      <w:marRight w:val="0"/>
      <w:marTop w:val="0"/>
      <w:marBottom w:val="0"/>
      <w:divBdr>
        <w:top w:val="none" w:sz="0" w:space="0" w:color="auto"/>
        <w:left w:val="none" w:sz="0" w:space="0" w:color="auto"/>
        <w:bottom w:val="none" w:sz="0" w:space="0" w:color="auto"/>
        <w:right w:val="none" w:sz="0" w:space="0" w:color="auto"/>
      </w:divBdr>
    </w:div>
    <w:div w:id="1272124638">
      <w:bodyDiv w:val="1"/>
      <w:marLeft w:val="0"/>
      <w:marRight w:val="0"/>
      <w:marTop w:val="0"/>
      <w:marBottom w:val="0"/>
      <w:divBdr>
        <w:top w:val="none" w:sz="0" w:space="0" w:color="auto"/>
        <w:left w:val="none" w:sz="0" w:space="0" w:color="auto"/>
        <w:bottom w:val="none" w:sz="0" w:space="0" w:color="auto"/>
        <w:right w:val="none" w:sz="0" w:space="0" w:color="auto"/>
      </w:divBdr>
      <w:divsChild>
        <w:div w:id="39595910">
          <w:marLeft w:val="0"/>
          <w:marRight w:val="0"/>
          <w:marTop w:val="0"/>
          <w:marBottom w:val="0"/>
          <w:divBdr>
            <w:top w:val="none" w:sz="0" w:space="0" w:color="auto"/>
            <w:left w:val="none" w:sz="0" w:space="0" w:color="auto"/>
            <w:bottom w:val="none" w:sz="0" w:space="0" w:color="auto"/>
            <w:right w:val="none" w:sz="0" w:space="0" w:color="auto"/>
          </w:divBdr>
          <w:divsChild>
            <w:div w:id="444037288">
              <w:marLeft w:val="0"/>
              <w:marRight w:val="0"/>
              <w:marTop w:val="0"/>
              <w:marBottom w:val="0"/>
              <w:divBdr>
                <w:top w:val="none" w:sz="0" w:space="0" w:color="auto"/>
                <w:left w:val="none" w:sz="0" w:space="0" w:color="auto"/>
                <w:bottom w:val="none" w:sz="0" w:space="0" w:color="auto"/>
                <w:right w:val="none" w:sz="0" w:space="0" w:color="auto"/>
              </w:divBdr>
              <w:divsChild>
                <w:div w:id="2974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87919">
      <w:bodyDiv w:val="1"/>
      <w:marLeft w:val="0"/>
      <w:marRight w:val="0"/>
      <w:marTop w:val="0"/>
      <w:marBottom w:val="0"/>
      <w:divBdr>
        <w:top w:val="none" w:sz="0" w:space="0" w:color="auto"/>
        <w:left w:val="none" w:sz="0" w:space="0" w:color="auto"/>
        <w:bottom w:val="none" w:sz="0" w:space="0" w:color="auto"/>
        <w:right w:val="none" w:sz="0" w:space="0" w:color="auto"/>
      </w:divBdr>
    </w:div>
    <w:div w:id="1450736773">
      <w:bodyDiv w:val="1"/>
      <w:marLeft w:val="0"/>
      <w:marRight w:val="0"/>
      <w:marTop w:val="0"/>
      <w:marBottom w:val="0"/>
      <w:divBdr>
        <w:top w:val="none" w:sz="0" w:space="0" w:color="auto"/>
        <w:left w:val="none" w:sz="0" w:space="0" w:color="auto"/>
        <w:bottom w:val="none" w:sz="0" w:space="0" w:color="auto"/>
        <w:right w:val="none" w:sz="0" w:space="0" w:color="auto"/>
      </w:divBdr>
    </w:div>
    <w:div w:id="1560675214">
      <w:bodyDiv w:val="1"/>
      <w:marLeft w:val="0"/>
      <w:marRight w:val="0"/>
      <w:marTop w:val="0"/>
      <w:marBottom w:val="0"/>
      <w:divBdr>
        <w:top w:val="none" w:sz="0" w:space="0" w:color="auto"/>
        <w:left w:val="none" w:sz="0" w:space="0" w:color="auto"/>
        <w:bottom w:val="none" w:sz="0" w:space="0" w:color="auto"/>
        <w:right w:val="none" w:sz="0" w:space="0" w:color="auto"/>
      </w:divBdr>
    </w:div>
    <w:div w:id="21001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www.rcgp.org.uk/training-exams/mrcgp-exam-overview/~/link.aspx?_id=4E38BE49593B4D778BCDEBEB5284A8AF&amp;_z=z" TargetMode="External"/><Relationship Id="rId26" Type="http://schemas.openxmlformats.org/officeDocument/2006/relationships/hyperlink" Target="https://www.rcgp.org.uk/-/media/Files/GP-training-and-exams/CSA-page/CSA-RCA/FAQs-Recorded-Consultation-Assessment.ashx?la=en" TargetMode="Externa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rcgp.org.uk/training-exams/mrcgp-exam-overview/-/media/F0C813F4063D4496A5231FD723938AB8.ashx" TargetMode="External"/><Relationship Id="rId25" Type="http://schemas.openxmlformats.org/officeDocument/2006/relationships/hyperlink" Target="https://www.rcgp.org.uk/training-exams/mrcgp-exam-overview/~/link.aspx?_id=4E38BE49593B4D778BCDEBEB5284A8AF&amp;_z=z"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fourteenfish.com/hc/en-gb/categories/360001624977-Recorded-Consultations-RCA-" TargetMode="External"/><Relationship Id="rId20" Type="http://schemas.openxmlformats.org/officeDocument/2006/relationships/hyperlink" Target="https://www.fourteenfish.com/library/view/20414915?librarySetId=6" TargetMode="External"/><Relationship Id="rId29" Type="http://schemas.openxmlformats.org/officeDocument/2006/relationships/hyperlink" Target="https://www.rcgp.org.uk/training-exams/mrcgp-exam-overview/-/media/F0C813F4063D4496A5231FD723938AB8.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rcgp.org.uk/gp-training-and-exams/mrcgp-exam/mrcgp-recorded-consultation-assessment/mandatory-case-selection-criteria-for-recorded-consultation-assessment.aspx" TargetMode="External"/><Relationship Id="rId32" Type="http://schemas.openxmlformats.org/officeDocument/2006/relationships/hyperlink" Target="https://www.fourteenfish.com/library/view/20414915?librarySetId=6"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rcgp.org.uk/gp-training-and-exams/mrcgp-exam/mrcgp-recorded-consultation-assessment/mandatory-case-selection-criteria-for-recorded-consultation-assessment.aspx" TargetMode="External"/><Relationship Id="rId23" Type="http://schemas.openxmlformats.org/officeDocument/2006/relationships/hyperlink" Target="https://www.rcgp.org.uk/-/media/Files/GP-training-and-exams/CSA-page/CSA-RCA/MRCGP-examination-RCA-policy-2020.ashx?la=en" TargetMode="External"/><Relationship Id="rId28" Type="http://schemas.openxmlformats.org/officeDocument/2006/relationships/hyperlink" Target="https://www.rcgp.org.uk/training-exams/mrcgp-exam-overview/~/link.aspx?_id=4E38BE49593B4D778BCDEBEB5284A8AF&amp;_z=z" TargetMode="Externa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fourteenfish.com/library/view/20416008?librarySetId=6" TargetMode="External"/><Relationship Id="rId31" Type="http://schemas.openxmlformats.org/officeDocument/2006/relationships/hyperlink" Target="https://www.fourteenfish.com/library/view/20416008?librarySetId=6" TargetMode="External"/><Relationship Id="rId4" Type="http://schemas.openxmlformats.org/officeDocument/2006/relationships/settings" Target="settings.xml"/><Relationship Id="rId9" Type="http://schemas.openxmlformats.org/officeDocument/2006/relationships/image" Target="media/image2.svg"/><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hyperlink" Target="https://www.rcgp.org.uk/training-exams/mrcgp-exam-overview/~/link.aspx?_id=3BFFA3D8C4A34F75BE4E4210775F20D2&amp;_z=z" TargetMode="External"/><Relationship Id="rId30" Type="http://schemas.openxmlformats.org/officeDocument/2006/relationships/hyperlink" Target="https://support.fourteenfish.com/hc/en-gb/categories/360001624977-Recorded-Consultations-RCA-"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70833-E227-DB40-AC85-5B2F15FA4E57}" type="doc">
      <dgm:prSet loTypeId="urn:microsoft.com/office/officeart/2005/8/layout/matrix1" loCatId="" qsTypeId="urn:microsoft.com/office/officeart/2005/8/quickstyle/simple1" qsCatId="simple" csTypeId="urn:microsoft.com/office/officeart/2005/8/colors/accent1_2" csCatId="accent1" phldr="1"/>
      <dgm:spPr/>
      <dgm:t>
        <a:bodyPr/>
        <a:lstStyle/>
        <a:p>
          <a:endParaRPr lang="en-GB"/>
        </a:p>
      </dgm:t>
    </dgm:pt>
    <dgm:pt modelId="{6FEB50A5-D0B3-4542-8B1E-EA8E38C3CCE8}">
      <dgm:prSet phldrT="[Text]"/>
      <dgm:spPr/>
      <dgm:t>
        <a:bodyPr/>
        <a:lstStyle/>
        <a:p>
          <a:r>
            <a:rPr lang="en-GB"/>
            <a:t>As soon as possible, look at RCA Section of RCGP website</a:t>
          </a:r>
        </a:p>
      </dgm:t>
    </dgm:pt>
    <dgm:pt modelId="{55649CCC-F30A-CA4F-A35D-CC2AD55BA034}" type="parTrans" cxnId="{ADEF2456-8D12-584F-A0BF-228070417862}">
      <dgm:prSet/>
      <dgm:spPr/>
      <dgm:t>
        <a:bodyPr/>
        <a:lstStyle/>
        <a:p>
          <a:endParaRPr lang="en-GB"/>
        </a:p>
      </dgm:t>
    </dgm:pt>
    <dgm:pt modelId="{F3FBC559-A70C-BC41-8FFF-4379A012B4EE}" type="sibTrans" cxnId="{ADEF2456-8D12-584F-A0BF-228070417862}">
      <dgm:prSet/>
      <dgm:spPr/>
      <dgm:t>
        <a:bodyPr/>
        <a:lstStyle/>
        <a:p>
          <a:endParaRPr lang="en-GB"/>
        </a:p>
      </dgm:t>
    </dgm:pt>
    <dgm:pt modelId="{15CBD7C5-BDB9-3A4D-8805-F70F07D099E9}">
      <dgm:prSet phldrT="[Text]"/>
      <dgm:spPr/>
      <dgm:t>
        <a:bodyPr/>
        <a:lstStyle/>
        <a:p>
          <a:r>
            <a:rPr lang="en-GB"/>
            <a:t>Understand the format of the assessment</a:t>
          </a:r>
        </a:p>
      </dgm:t>
    </dgm:pt>
    <dgm:pt modelId="{837FEDC3-0912-8944-A349-082DBA3F5F13}" type="parTrans" cxnId="{32002D3C-E156-2443-BC79-581AFAFFC17F}">
      <dgm:prSet/>
      <dgm:spPr/>
      <dgm:t>
        <a:bodyPr/>
        <a:lstStyle/>
        <a:p>
          <a:endParaRPr lang="en-GB"/>
        </a:p>
      </dgm:t>
    </dgm:pt>
    <dgm:pt modelId="{FFC94F4C-4E3E-3348-B33B-060B5596240F}" type="sibTrans" cxnId="{32002D3C-E156-2443-BC79-581AFAFFC17F}">
      <dgm:prSet/>
      <dgm:spPr/>
      <dgm:t>
        <a:bodyPr/>
        <a:lstStyle/>
        <a:p>
          <a:endParaRPr lang="en-GB"/>
        </a:p>
      </dgm:t>
    </dgm:pt>
    <dgm:pt modelId="{4F214213-73E2-294F-819E-20DBB45DE11D}">
      <dgm:prSet phldrT="[Text]"/>
      <dgm:spPr/>
      <dgm:t>
        <a:bodyPr/>
        <a:lstStyle/>
        <a:p>
          <a:r>
            <a:rPr lang="en-GB"/>
            <a:t>Use the RCGP preparatory resources</a:t>
          </a:r>
        </a:p>
      </dgm:t>
    </dgm:pt>
    <dgm:pt modelId="{13CFE76C-2E78-324D-BB1A-14FD496A4074}" type="sibTrans" cxnId="{208357FD-75ED-4544-AC54-35F24B0D6898}">
      <dgm:prSet/>
      <dgm:spPr/>
      <dgm:t>
        <a:bodyPr/>
        <a:lstStyle/>
        <a:p>
          <a:endParaRPr lang="en-GB"/>
        </a:p>
      </dgm:t>
    </dgm:pt>
    <dgm:pt modelId="{341DBBD4-2122-094F-8C05-C7975DB5CFA8}" type="parTrans" cxnId="{208357FD-75ED-4544-AC54-35F24B0D6898}">
      <dgm:prSet/>
      <dgm:spPr/>
      <dgm:t>
        <a:bodyPr/>
        <a:lstStyle/>
        <a:p>
          <a:endParaRPr lang="en-GB"/>
        </a:p>
      </dgm:t>
    </dgm:pt>
    <dgm:pt modelId="{37A78BFE-3C56-C84D-B355-0F10B96426FA}">
      <dgm:prSet phldrT="[Text]"/>
      <dgm:spPr/>
      <dgm:t>
        <a:bodyPr/>
        <a:lstStyle/>
        <a:p>
          <a:r>
            <a:rPr lang="en-GB"/>
            <a:t>Look at exam regulations</a:t>
          </a:r>
        </a:p>
      </dgm:t>
    </dgm:pt>
    <dgm:pt modelId="{3586D43D-F1FC-104C-BAAA-77223089F012}" type="sibTrans" cxnId="{AE1A3033-1857-C04A-A8C5-F6666AC2AEFD}">
      <dgm:prSet/>
      <dgm:spPr/>
      <dgm:t>
        <a:bodyPr/>
        <a:lstStyle/>
        <a:p>
          <a:endParaRPr lang="en-GB"/>
        </a:p>
      </dgm:t>
    </dgm:pt>
    <dgm:pt modelId="{FD803654-A5E1-424F-9E65-E69AE2DAD768}" type="parTrans" cxnId="{AE1A3033-1857-C04A-A8C5-F6666AC2AEFD}">
      <dgm:prSet/>
      <dgm:spPr/>
      <dgm:t>
        <a:bodyPr/>
        <a:lstStyle/>
        <a:p>
          <a:endParaRPr lang="en-GB"/>
        </a:p>
      </dgm:t>
    </dgm:pt>
    <dgm:pt modelId="{4BC36516-4335-5B4A-99FA-763466208E3F}">
      <dgm:prSet phldrT="[Text]"/>
      <dgm:spPr/>
      <dgm:t>
        <a:bodyPr/>
        <a:lstStyle/>
        <a:p>
          <a:pPr algn="ctr"/>
          <a:r>
            <a:rPr lang="en-GB"/>
            <a:t>Understand how the exam is marked</a:t>
          </a:r>
        </a:p>
      </dgm:t>
    </dgm:pt>
    <dgm:pt modelId="{C560B2BE-800E-4E4E-86D9-9D00091C37CB}" type="sibTrans" cxnId="{697DCDC1-AC1F-B640-A0E3-5EE9A91D3556}">
      <dgm:prSet/>
      <dgm:spPr/>
      <dgm:t>
        <a:bodyPr/>
        <a:lstStyle/>
        <a:p>
          <a:endParaRPr lang="en-GB"/>
        </a:p>
      </dgm:t>
    </dgm:pt>
    <dgm:pt modelId="{088A39E8-7F42-F94C-812F-03EAC0B193C2}" type="parTrans" cxnId="{697DCDC1-AC1F-B640-A0E3-5EE9A91D3556}">
      <dgm:prSet/>
      <dgm:spPr/>
      <dgm:t>
        <a:bodyPr/>
        <a:lstStyle/>
        <a:p>
          <a:endParaRPr lang="en-GB"/>
        </a:p>
      </dgm:t>
    </dgm:pt>
    <dgm:pt modelId="{02241CEC-82D1-354F-9299-3028470F4F85}" type="pres">
      <dgm:prSet presAssocID="{5DC70833-E227-DB40-AC85-5B2F15FA4E57}" presName="diagram" presStyleCnt="0">
        <dgm:presLayoutVars>
          <dgm:chMax val="1"/>
          <dgm:dir/>
          <dgm:animLvl val="ctr"/>
          <dgm:resizeHandles val="exact"/>
        </dgm:presLayoutVars>
      </dgm:prSet>
      <dgm:spPr/>
    </dgm:pt>
    <dgm:pt modelId="{60E5A8CB-0AF0-F64C-A766-D41CADC86A90}" type="pres">
      <dgm:prSet presAssocID="{5DC70833-E227-DB40-AC85-5B2F15FA4E57}" presName="matrix" presStyleCnt="0"/>
      <dgm:spPr/>
    </dgm:pt>
    <dgm:pt modelId="{153D41FB-00D8-FC4E-9B22-83C7F1BFBFB0}" type="pres">
      <dgm:prSet presAssocID="{5DC70833-E227-DB40-AC85-5B2F15FA4E57}" presName="tile1" presStyleLbl="node1" presStyleIdx="0" presStyleCnt="4"/>
      <dgm:spPr/>
    </dgm:pt>
    <dgm:pt modelId="{B7E5E260-BB35-1E41-8B5A-8F0B7FDFB9BB}" type="pres">
      <dgm:prSet presAssocID="{5DC70833-E227-DB40-AC85-5B2F15FA4E57}" presName="tile1text" presStyleLbl="node1" presStyleIdx="0" presStyleCnt="4">
        <dgm:presLayoutVars>
          <dgm:chMax val="0"/>
          <dgm:chPref val="0"/>
          <dgm:bulletEnabled val="1"/>
        </dgm:presLayoutVars>
      </dgm:prSet>
      <dgm:spPr/>
    </dgm:pt>
    <dgm:pt modelId="{79CD9CBB-35C0-3945-AAF1-0350B44A7B4F}" type="pres">
      <dgm:prSet presAssocID="{5DC70833-E227-DB40-AC85-5B2F15FA4E57}" presName="tile2" presStyleLbl="node1" presStyleIdx="1" presStyleCnt="4"/>
      <dgm:spPr/>
    </dgm:pt>
    <dgm:pt modelId="{B6212AA2-A359-8148-8C22-3B0403BFA227}" type="pres">
      <dgm:prSet presAssocID="{5DC70833-E227-DB40-AC85-5B2F15FA4E57}" presName="tile2text" presStyleLbl="node1" presStyleIdx="1" presStyleCnt="4">
        <dgm:presLayoutVars>
          <dgm:chMax val="0"/>
          <dgm:chPref val="0"/>
          <dgm:bulletEnabled val="1"/>
        </dgm:presLayoutVars>
      </dgm:prSet>
      <dgm:spPr/>
    </dgm:pt>
    <dgm:pt modelId="{992C8F03-464C-6A41-864E-35B5E96D62A5}" type="pres">
      <dgm:prSet presAssocID="{5DC70833-E227-DB40-AC85-5B2F15FA4E57}" presName="tile3" presStyleLbl="node1" presStyleIdx="2" presStyleCnt="4"/>
      <dgm:spPr/>
    </dgm:pt>
    <dgm:pt modelId="{C8FF2B36-3A9C-BB4F-90BB-E443297828E4}" type="pres">
      <dgm:prSet presAssocID="{5DC70833-E227-DB40-AC85-5B2F15FA4E57}" presName="tile3text" presStyleLbl="node1" presStyleIdx="2" presStyleCnt="4">
        <dgm:presLayoutVars>
          <dgm:chMax val="0"/>
          <dgm:chPref val="0"/>
          <dgm:bulletEnabled val="1"/>
        </dgm:presLayoutVars>
      </dgm:prSet>
      <dgm:spPr/>
    </dgm:pt>
    <dgm:pt modelId="{5B3AD92A-A03F-7F4D-B608-4C37C01A839C}" type="pres">
      <dgm:prSet presAssocID="{5DC70833-E227-DB40-AC85-5B2F15FA4E57}" presName="tile4" presStyleLbl="node1" presStyleIdx="3" presStyleCnt="4"/>
      <dgm:spPr/>
    </dgm:pt>
    <dgm:pt modelId="{EE4C1C7A-940F-0148-860A-EED80EB45EB7}" type="pres">
      <dgm:prSet presAssocID="{5DC70833-E227-DB40-AC85-5B2F15FA4E57}" presName="tile4text" presStyleLbl="node1" presStyleIdx="3" presStyleCnt="4">
        <dgm:presLayoutVars>
          <dgm:chMax val="0"/>
          <dgm:chPref val="0"/>
          <dgm:bulletEnabled val="1"/>
        </dgm:presLayoutVars>
      </dgm:prSet>
      <dgm:spPr/>
    </dgm:pt>
    <dgm:pt modelId="{41EBFBC8-D563-BC49-B60B-13F1D0E18081}" type="pres">
      <dgm:prSet presAssocID="{5DC70833-E227-DB40-AC85-5B2F15FA4E57}" presName="centerTile" presStyleLbl="fgShp" presStyleIdx="0" presStyleCnt="1">
        <dgm:presLayoutVars>
          <dgm:chMax val="0"/>
          <dgm:chPref val="0"/>
        </dgm:presLayoutVars>
      </dgm:prSet>
      <dgm:spPr/>
    </dgm:pt>
  </dgm:ptLst>
  <dgm:cxnLst>
    <dgm:cxn modelId="{AE1A3033-1857-C04A-A8C5-F6666AC2AEFD}" srcId="{6FEB50A5-D0B3-4542-8B1E-EA8E38C3CCE8}" destId="{37A78BFE-3C56-C84D-B355-0F10B96426FA}" srcOrd="2" destOrd="0" parTransId="{FD803654-A5E1-424F-9E65-E69AE2DAD768}" sibTransId="{3586D43D-F1FC-104C-BAAA-77223089F012}"/>
    <dgm:cxn modelId="{32002D3C-E156-2443-BC79-581AFAFFC17F}" srcId="{6FEB50A5-D0B3-4542-8B1E-EA8E38C3CCE8}" destId="{15CBD7C5-BDB9-3A4D-8805-F70F07D099E9}" srcOrd="0" destOrd="0" parTransId="{837FEDC3-0912-8944-A349-082DBA3F5F13}" sibTransId="{FFC94F4C-4E3E-3348-B33B-060B5596240F}"/>
    <dgm:cxn modelId="{77D1505B-80DC-F549-AF31-B18CE7324203}" type="presOf" srcId="{15CBD7C5-BDB9-3A4D-8805-F70F07D099E9}" destId="{153D41FB-00D8-FC4E-9B22-83C7F1BFBFB0}" srcOrd="0" destOrd="0" presId="urn:microsoft.com/office/officeart/2005/8/layout/matrix1"/>
    <dgm:cxn modelId="{CC7BB541-A676-954D-89FE-E2AE627FDB39}" type="presOf" srcId="{4BC36516-4335-5B4A-99FA-763466208E3F}" destId="{5B3AD92A-A03F-7F4D-B608-4C37C01A839C}" srcOrd="0" destOrd="0" presId="urn:microsoft.com/office/officeart/2005/8/layout/matrix1"/>
    <dgm:cxn modelId="{B15E2070-CBAE-0544-8DA0-A1EB1D4C76A6}" type="presOf" srcId="{5DC70833-E227-DB40-AC85-5B2F15FA4E57}" destId="{02241CEC-82D1-354F-9299-3028470F4F85}" srcOrd="0" destOrd="0" presId="urn:microsoft.com/office/officeart/2005/8/layout/matrix1"/>
    <dgm:cxn modelId="{45D58370-C057-C642-A2F2-20FC3C2C75BB}" type="presOf" srcId="{37A78BFE-3C56-C84D-B355-0F10B96426FA}" destId="{992C8F03-464C-6A41-864E-35B5E96D62A5}" srcOrd="0" destOrd="0" presId="urn:microsoft.com/office/officeart/2005/8/layout/matrix1"/>
    <dgm:cxn modelId="{ADEF2456-8D12-584F-A0BF-228070417862}" srcId="{5DC70833-E227-DB40-AC85-5B2F15FA4E57}" destId="{6FEB50A5-D0B3-4542-8B1E-EA8E38C3CCE8}" srcOrd="0" destOrd="0" parTransId="{55649CCC-F30A-CA4F-A35D-CC2AD55BA034}" sibTransId="{F3FBC559-A70C-BC41-8FFF-4379A012B4EE}"/>
    <dgm:cxn modelId="{579A3658-E2D7-B849-992E-0C4DC1FA48BC}" type="presOf" srcId="{4F214213-73E2-294F-819E-20DBB45DE11D}" destId="{79CD9CBB-35C0-3945-AAF1-0350B44A7B4F}" srcOrd="0" destOrd="0" presId="urn:microsoft.com/office/officeart/2005/8/layout/matrix1"/>
    <dgm:cxn modelId="{FBC455A1-E7CC-F348-BA60-817649F053E0}" type="presOf" srcId="{4F214213-73E2-294F-819E-20DBB45DE11D}" destId="{B6212AA2-A359-8148-8C22-3B0403BFA227}" srcOrd="1" destOrd="0" presId="urn:microsoft.com/office/officeart/2005/8/layout/matrix1"/>
    <dgm:cxn modelId="{0F44DEB3-9F55-7541-ACB1-0DBBCBAC1340}" type="presOf" srcId="{6FEB50A5-D0B3-4542-8B1E-EA8E38C3CCE8}" destId="{41EBFBC8-D563-BC49-B60B-13F1D0E18081}" srcOrd="0" destOrd="0" presId="urn:microsoft.com/office/officeart/2005/8/layout/matrix1"/>
    <dgm:cxn modelId="{697DCDC1-AC1F-B640-A0E3-5EE9A91D3556}" srcId="{6FEB50A5-D0B3-4542-8B1E-EA8E38C3CCE8}" destId="{4BC36516-4335-5B4A-99FA-763466208E3F}" srcOrd="3" destOrd="0" parTransId="{088A39E8-7F42-F94C-812F-03EAC0B193C2}" sibTransId="{C560B2BE-800E-4E4E-86D9-9D00091C37CB}"/>
    <dgm:cxn modelId="{96739BCC-A50A-4041-838E-862E0A720ABC}" type="presOf" srcId="{37A78BFE-3C56-C84D-B355-0F10B96426FA}" destId="{C8FF2B36-3A9C-BB4F-90BB-E443297828E4}" srcOrd="1" destOrd="0" presId="urn:microsoft.com/office/officeart/2005/8/layout/matrix1"/>
    <dgm:cxn modelId="{8B78DADB-D616-134C-866E-2EA4DF31A1F6}" type="presOf" srcId="{4BC36516-4335-5B4A-99FA-763466208E3F}" destId="{EE4C1C7A-940F-0148-860A-EED80EB45EB7}" srcOrd="1" destOrd="0" presId="urn:microsoft.com/office/officeart/2005/8/layout/matrix1"/>
    <dgm:cxn modelId="{17F974E3-6174-DE46-B124-601A7138874B}" type="presOf" srcId="{15CBD7C5-BDB9-3A4D-8805-F70F07D099E9}" destId="{B7E5E260-BB35-1E41-8B5A-8F0B7FDFB9BB}" srcOrd="1" destOrd="0" presId="urn:microsoft.com/office/officeart/2005/8/layout/matrix1"/>
    <dgm:cxn modelId="{208357FD-75ED-4544-AC54-35F24B0D6898}" srcId="{6FEB50A5-D0B3-4542-8B1E-EA8E38C3CCE8}" destId="{4F214213-73E2-294F-819E-20DBB45DE11D}" srcOrd="1" destOrd="0" parTransId="{341DBBD4-2122-094F-8C05-C7975DB5CFA8}" sibTransId="{13CFE76C-2E78-324D-BB1A-14FD496A4074}"/>
    <dgm:cxn modelId="{F044BAEF-03E3-3A4A-9645-F3E7C3CB1274}" type="presParOf" srcId="{02241CEC-82D1-354F-9299-3028470F4F85}" destId="{60E5A8CB-0AF0-F64C-A766-D41CADC86A90}" srcOrd="0" destOrd="0" presId="urn:microsoft.com/office/officeart/2005/8/layout/matrix1"/>
    <dgm:cxn modelId="{B37D6AC8-781C-4640-AADA-E1BC5FA177AC}" type="presParOf" srcId="{60E5A8CB-0AF0-F64C-A766-D41CADC86A90}" destId="{153D41FB-00D8-FC4E-9B22-83C7F1BFBFB0}" srcOrd="0" destOrd="0" presId="urn:microsoft.com/office/officeart/2005/8/layout/matrix1"/>
    <dgm:cxn modelId="{7B99B23B-0019-874E-A6E9-B54576A7B808}" type="presParOf" srcId="{60E5A8CB-0AF0-F64C-A766-D41CADC86A90}" destId="{B7E5E260-BB35-1E41-8B5A-8F0B7FDFB9BB}" srcOrd="1" destOrd="0" presId="urn:microsoft.com/office/officeart/2005/8/layout/matrix1"/>
    <dgm:cxn modelId="{C099C2F0-2270-5840-BA57-59CC45BDD81F}" type="presParOf" srcId="{60E5A8CB-0AF0-F64C-A766-D41CADC86A90}" destId="{79CD9CBB-35C0-3945-AAF1-0350B44A7B4F}" srcOrd="2" destOrd="0" presId="urn:microsoft.com/office/officeart/2005/8/layout/matrix1"/>
    <dgm:cxn modelId="{9A380906-D843-B145-81E4-3B6FEAA70800}" type="presParOf" srcId="{60E5A8CB-0AF0-F64C-A766-D41CADC86A90}" destId="{B6212AA2-A359-8148-8C22-3B0403BFA227}" srcOrd="3" destOrd="0" presId="urn:microsoft.com/office/officeart/2005/8/layout/matrix1"/>
    <dgm:cxn modelId="{F1CE6200-401B-0645-B239-360CFD357D4D}" type="presParOf" srcId="{60E5A8CB-0AF0-F64C-A766-D41CADC86A90}" destId="{992C8F03-464C-6A41-864E-35B5E96D62A5}" srcOrd="4" destOrd="0" presId="urn:microsoft.com/office/officeart/2005/8/layout/matrix1"/>
    <dgm:cxn modelId="{A508F7C4-BF48-794D-8115-BAFED7F79F8D}" type="presParOf" srcId="{60E5A8CB-0AF0-F64C-A766-D41CADC86A90}" destId="{C8FF2B36-3A9C-BB4F-90BB-E443297828E4}" srcOrd="5" destOrd="0" presId="urn:microsoft.com/office/officeart/2005/8/layout/matrix1"/>
    <dgm:cxn modelId="{B56E3E56-EFC3-0E4B-A6E5-A79DBAD07260}" type="presParOf" srcId="{60E5A8CB-0AF0-F64C-A766-D41CADC86A90}" destId="{5B3AD92A-A03F-7F4D-B608-4C37C01A839C}" srcOrd="6" destOrd="0" presId="urn:microsoft.com/office/officeart/2005/8/layout/matrix1"/>
    <dgm:cxn modelId="{67D3FFB6-8B05-5D43-910B-66BD4495BDC7}" type="presParOf" srcId="{60E5A8CB-0AF0-F64C-A766-D41CADC86A90}" destId="{EE4C1C7A-940F-0148-860A-EED80EB45EB7}" srcOrd="7" destOrd="0" presId="urn:microsoft.com/office/officeart/2005/8/layout/matrix1"/>
    <dgm:cxn modelId="{BA033DEA-23E1-374C-A4B5-44C44BB846A7}" type="presParOf" srcId="{02241CEC-82D1-354F-9299-3028470F4F85}" destId="{41EBFBC8-D563-BC49-B60B-13F1D0E18081}"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D41FB-00D8-FC4E-9B22-83C7F1BFBFB0}">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Understand the format of the assessment</a:t>
          </a:r>
        </a:p>
      </dsp:txBody>
      <dsp:txXfrm rot="5400000">
        <a:off x="-1" y="1"/>
        <a:ext cx="2743200" cy="1200150"/>
      </dsp:txXfrm>
    </dsp:sp>
    <dsp:sp modelId="{79CD9CBB-35C0-3945-AAF1-0350B44A7B4F}">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Use the RCGP preparatory resources</a:t>
          </a:r>
        </a:p>
      </dsp:txBody>
      <dsp:txXfrm>
        <a:off x="2743200" y="0"/>
        <a:ext cx="2743200" cy="1200150"/>
      </dsp:txXfrm>
    </dsp:sp>
    <dsp:sp modelId="{992C8F03-464C-6A41-864E-35B5E96D62A5}">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Look at exam regulations</a:t>
          </a:r>
        </a:p>
      </dsp:txBody>
      <dsp:txXfrm rot="10800000">
        <a:off x="0" y="2000250"/>
        <a:ext cx="2743200" cy="1200150"/>
      </dsp:txXfrm>
    </dsp:sp>
    <dsp:sp modelId="{5B3AD92A-A03F-7F4D-B608-4C37C01A839C}">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Understand how the exam is marked</a:t>
          </a:r>
        </a:p>
      </dsp:txBody>
      <dsp:txXfrm rot="-5400000">
        <a:off x="2743200" y="2000250"/>
        <a:ext cx="2743200" cy="1200150"/>
      </dsp:txXfrm>
    </dsp:sp>
    <dsp:sp modelId="{41EBFBC8-D563-BC49-B60B-13F1D0E18081}">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As soon as possible, look at RCA Section of RCGP website</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8CE08D467A4468B07C0F8ECDA7A10"/>
        <w:category>
          <w:name w:val="General"/>
          <w:gallery w:val="placeholder"/>
        </w:category>
        <w:types>
          <w:type w:val="bbPlcHdr"/>
        </w:types>
        <w:behaviors>
          <w:behavior w:val="content"/>
        </w:behaviors>
        <w:guid w:val="{2E065B98-AA50-7A42-A3F4-ADB80090CEDA}"/>
      </w:docPartPr>
      <w:docPartBody>
        <w:p w:rsidR="001B2429" w:rsidRDefault="004E076D">
          <w:pPr>
            <w:pStyle w:val="7848CE08D467A4468B07C0F8ECDA7A10"/>
          </w:pPr>
          <w:r>
            <w:rPr>
              <w:lang w:bidi="en-GB"/>
            </w:rP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ahoma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6D"/>
    <w:rsid w:val="0014768B"/>
    <w:rsid w:val="001B2429"/>
    <w:rsid w:val="002461A6"/>
    <w:rsid w:val="002C05C8"/>
    <w:rsid w:val="00322E07"/>
    <w:rsid w:val="0033579E"/>
    <w:rsid w:val="00446DBB"/>
    <w:rsid w:val="00490070"/>
    <w:rsid w:val="004E076D"/>
    <w:rsid w:val="00664928"/>
    <w:rsid w:val="00696AAF"/>
    <w:rsid w:val="006E1964"/>
    <w:rsid w:val="00772999"/>
    <w:rsid w:val="009066C7"/>
    <w:rsid w:val="00972520"/>
    <w:rsid w:val="00AE74E3"/>
    <w:rsid w:val="00B01DDA"/>
    <w:rsid w:val="00B66897"/>
    <w:rsid w:val="00B81ABC"/>
    <w:rsid w:val="00C03E65"/>
    <w:rsid w:val="00C9489B"/>
    <w:rsid w:val="00EA2BEB"/>
    <w:rsid w:val="00EB7128"/>
    <w:rsid w:val="00ED32DF"/>
    <w:rsid w:val="00F0584F"/>
    <w:rsid w:val="00FF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8CE08D467A4468B07C0F8ECDA7A10">
    <w:name w:val="7848CE08D467A4468B07C0F8ECDA7A10"/>
  </w:style>
  <w:style w:type="paragraph" w:styleId="ListBullet">
    <w:name w:val="List Bullet"/>
    <w:basedOn w:val="Normal"/>
    <w:uiPriority w:val="9"/>
    <w:qFormat/>
    <w:pPr>
      <w:numPr>
        <w:numId w:val="1"/>
      </w:numPr>
      <w:spacing w:after="120" w:line="312" w:lineRule="auto"/>
    </w:pPr>
    <w:rPr>
      <w:rFonts w:eastAsiaTheme="minorHAnsi"/>
      <w:color w:val="7F7F7F" w:themeColor="text1" w:themeTint="80"/>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Haw191</b:Tag>
    <b:SourceType>JournalArticle</b:SourceType>
    <b:Guid>{0F8CE896-AD2E-384B-8F2B-C12DBD88E2F0}</b:Guid>
    <b:Author>
      <b:Author>
        <b:NameList>
          <b:Person>
            <b:Last>D</b:Last>
            <b:First>Hawkridge</b:First>
            <b:Middle>A &amp; Molyneux</b:Middle>
          </b:Person>
        </b:NameList>
      </b:Author>
    </b:Author>
    <b:Title>A description and evaluation of an educational programme for North West England GP trainees who have multiple fails in the Clinical Skills Assessment (CSA)</b:Title>
    <b:JournalName>Education for Primary Care</b:JournalName>
    <b:Year>2019</b:Year>
    <b:Pages>30:3, 167-172</b:Pages>
    <b:RefOrder>1</b:RefOrder>
  </b:Source>
</b:Sources>
</file>

<file path=customXml/itemProps1.xml><?xml version="1.0" encoding="utf-8"?>
<ds:datastoreItem xmlns:ds="http://schemas.openxmlformats.org/officeDocument/2006/customXml" ds:itemID="{4282A7AD-2201-BD43-9D02-1EC21118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3317</Words>
  <Characters>18907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Morgan</dc:creator>
  <cp:keywords/>
  <dc:description/>
  <cp:lastModifiedBy>Helen Dykstra</cp:lastModifiedBy>
  <cp:revision>2</cp:revision>
  <dcterms:created xsi:type="dcterms:W3CDTF">2022-01-28T13:58:00Z</dcterms:created>
  <dcterms:modified xsi:type="dcterms:W3CDTF">2022-01-28T13:58:00Z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