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A6829" w14:textId="77777777" w:rsidR="00312939" w:rsidRPr="00FF3873" w:rsidRDefault="00312939">
      <w:pPr>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C3515" w:rsidRPr="00BC3515" w14:paraId="1839FC45" w14:textId="77777777" w:rsidTr="00FF3873">
        <w:tc>
          <w:tcPr>
            <w:tcW w:w="9026" w:type="dxa"/>
          </w:tcPr>
          <w:p w14:paraId="5B3A8EB0" w14:textId="1A72C24F" w:rsidR="00BC3515" w:rsidRDefault="00BC3515" w:rsidP="00E05045">
            <w:pPr>
              <w:jc w:val="center"/>
              <w:rPr>
                <w:rFonts w:ascii="Arial" w:hAnsi="Arial" w:cs="Arial"/>
                <w:b/>
                <w:u w:val="single"/>
              </w:rPr>
            </w:pPr>
            <w:r w:rsidRPr="00BC3515">
              <w:rPr>
                <w:rFonts w:ascii="Arial" w:hAnsi="Arial" w:cs="Arial"/>
                <w:b/>
                <w:u w:val="single"/>
              </w:rPr>
              <w:t xml:space="preserve">Study Leave Guidance for Psychiatry </w:t>
            </w:r>
            <w:r w:rsidR="002F4316">
              <w:rPr>
                <w:rFonts w:ascii="Arial" w:hAnsi="Arial" w:cs="Arial"/>
                <w:b/>
                <w:u w:val="single"/>
              </w:rPr>
              <w:t>Postgraduate Doctors</w:t>
            </w:r>
            <w:r w:rsidR="00EF4271">
              <w:rPr>
                <w:rFonts w:ascii="Arial" w:hAnsi="Arial" w:cs="Arial"/>
                <w:b/>
                <w:u w:val="single"/>
              </w:rPr>
              <w:t xml:space="preserve"> in Training</w:t>
            </w:r>
            <w:r w:rsidR="002F4316">
              <w:rPr>
                <w:rFonts w:ascii="Arial" w:hAnsi="Arial" w:cs="Arial"/>
                <w:b/>
                <w:u w:val="single"/>
              </w:rPr>
              <w:t xml:space="preserve"> </w:t>
            </w:r>
          </w:p>
          <w:p w14:paraId="7080CCB4" w14:textId="77777777" w:rsidR="00BC3515" w:rsidRPr="00BC3515" w:rsidRDefault="00BC3515" w:rsidP="00E05045">
            <w:pPr>
              <w:jc w:val="center"/>
              <w:rPr>
                <w:rFonts w:ascii="Arial" w:hAnsi="Arial" w:cs="Arial"/>
                <w:b/>
                <w:u w:val="single"/>
              </w:rPr>
            </w:pPr>
            <w:r w:rsidRPr="00BC3515">
              <w:rPr>
                <w:rFonts w:ascii="Arial" w:hAnsi="Arial" w:cs="Arial"/>
                <w:b/>
                <w:u w:val="single"/>
              </w:rPr>
              <w:t xml:space="preserve">North West School of Psychiatry </w:t>
            </w:r>
          </w:p>
        </w:tc>
      </w:tr>
      <w:tr w:rsidR="00BC3515" w:rsidRPr="00BC3515" w14:paraId="38D3CA0B" w14:textId="77777777" w:rsidTr="00FF3873">
        <w:tc>
          <w:tcPr>
            <w:tcW w:w="9026" w:type="dxa"/>
          </w:tcPr>
          <w:p w14:paraId="038FA5AF" w14:textId="77777777" w:rsidR="00BC3515" w:rsidRPr="00BC3515" w:rsidRDefault="00BC3515" w:rsidP="00E05045">
            <w:pPr>
              <w:rPr>
                <w:rFonts w:ascii="Arial" w:hAnsi="Arial" w:cs="Arial"/>
              </w:rPr>
            </w:pPr>
          </w:p>
        </w:tc>
      </w:tr>
      <w:tr w:rsidR="00BC3515" w14:paraId="05094A8E" w14:textId="77777777" w:rsidTr="00FF3873">
        <w:tc>
          <w:tcPr>
            <w:tcW w:w="9026" w:type="dxa"/>
          </w:tcPr>
          <w:tbl>
            <w:tblPr>
              <w:tblStyle w:val="TableGrid"/>
              <w:tblW w:w="8505" w:type="dxa"/>
              <w:tblInd w:w="316" w:type="dxa"/>
              <w:tblLook w:val="04A0" w:firstRow="1" w:lastRow="0" w:firstColumn="1" w:lastColumn="0" w:noHBand="0" w:noVBand="1"/>
            </w:tblPr>
            <w:tblGrid>
              <w:gridCol w:w="936"/>
              <w:gridCol w:w="7569"/>
            </w:tblGrid>
            <w:tr w:rsidR="00BC3515" w:rsidRPr="00BC3515" w14:paraId="5A0332CA" w14:textId="77777777" w:rsidTr="004818B4">
              <w:tc>
                <w:tcPr>
                  <w:tcW w:w="936" w:type="dxa"/>
                  <w:tcBorders>
                    <w:top w:val="nil"/>
                    <w:left w:val="nil"/>
                    <w:bottom w:val="nil"/>
                    <w:right w:val="nil"/>
                  </w:tcBorders>
                </w:tcPr>
                <w:p w14:paraId="2FFAECED" w14:textId="77777777" w:rsidR="00BC3515" w:rsidRPr="00854B30" w:rsidRDefault="00BC3515" w:rsidP="000B585B">
                  <w:pPr>
                    <w:pStyle w:val="ListParagraph"/>
                    <w:numPr>
                      <w:ilvl w:val="0"/>
                      <w:numId w:val="10"/>
                    </w:numPr>
                    <w:ind w:hanging="678"/>
                    <w:jc w:val="both"/>
                    <w:rPr>
                      <w:rFonts w:ascii="Arial" w:hAnsi="Arial" w:cs="Arial"/>
                      <w:b/>
                    </w:rPr>
                  </w:pPr>
                </w:p>
              </w:tc>
              <w:tc>
                <w:tcPr>
                  <w:tcW w:w="7569" w:type="dxa"/>
                  <w:tcBorders>
                    <w:top w:val="nil"/>
                    <w:left w:val="nil"/>
                    <w:bottom w:val="nil"/>
                    <w:right w:val="nil"/>
                  </w:tcBorders>
                </w:tcPr>
                <w:p w14:paraId="48600D46" w14:textId="77777777" w:rsidR="00BC3515" w:rsidRDefault="00BC3515" w:rsidP="00BC3515">
                  <w:pPr>
                    <w:jc w:val="both"/>
                    <w:rPr>
                      <w:rFonts w:ascii="Arial" w:hAnsi="Arial" w:cs="Arial"/>
                      <w:b/>
                      <w:u w:val="single"/>
                    </w:rPr>
                  </w:pPr>
                  <w:r w:rsidRPr="00BC3515">
                    <w:rPr>
                      <w:rFonts w:ascii="Arial" w:hAnsi="Arial" w:cs="Arial"/>
                      <w:b/>
                      <w:u w:val="single"/>
                    </w:rPr>
                    <w:t>Introduction</w:t>
                  </w:r>
                </w:p>
                <w:p w14:paraId="27EA13B8" w14:textId="77777777" w:rsidR="00854B30" w:rsidRPr="00BC3515" w:rsidRDefault="00854B30" w:rsidP="00BC3515">
                  <w:pPr>
                    <w:jc w:val="both"/>
                    <w:rPr>
                      <w:rFonts w:ascii="Arial" w:hAnsi="Arial" w:cs="Arial"/>
                      <w:b/>
                      <w:u w:val="single"/>
                    </w:rPr>
                  </w:pPr>
                </w:p>
              </w:tc>
            </w:tr>
            <w:tr w:rsidR="00BC3515" w:rsidRPr="00BC3515" w14:paraId="4B45B694" w14:textId="77777777" w:rsidTr="004818B4">
              <w:tc>
                <w:tcPr>
                  <w:tcW w:w="936" w:type="dxa"/>
                  <w:tcBorders>
                    <w:top w:val="nil"/>
                    <w:left w:val="nil"/>
                    <w:bottom w:val="nil"/>
                    <w:right w:val="nil"/>
                  </w:tcBorders>
                </w:tcPr>
                <w:p w14:paraId="47C04B05" w14:textId="77777777" w:rsidR="00BC3515" w:rsidRPr="00BC3515" w:rsidRDefault="00BC3515" w:rsidP="000B585B">
                  <w:pPr>
                    <w:pStyle w:val="ListParagraph"/>
                    <w:numPr>
                      <w:ilvl w:val="1"/>
                      <w:numId w:val="1"/>
                    </w:numPr>
                    <w:jc w:val="right"/>
                    <w:rPr>
                      <w:rFonts w:ascii="Arial" w:hAnsi="Arial" w:cs="Arial"/>
                    </w:rPr>
                  </w:pPr>
                </w:p>
              </w:tc>
              <w:tc>
                <w:tcPr>
                  <w:tcW w:w="7569" w:type="dxa"/>
                  <w:tcBorders>
                    <w:top w:val="nil"/>
                    <w:left w:val="nil"/>
                    <w:bottom w:val="nil"/>
                    <w:right w:val="nil"/>
                  </w:tcBorders>
                </w:tcPr>
                <w:p w14:paraId="370ADE47" w14:textId="1D4DD62C" w:rsidR="00BC3515" w:rsidRDefault="00BC3515" w:rsidP="00BC3515">
                  <w:pPr>
                    <w:jc w:val="both"/>
                    <w:rPr>
                      <w:rFonts w:ascii="Arial" w:hAnsi="Arial" w:cs="Arial"/>
                    </w:rPr>
                  </w:pPr>
                  <w:r w:rsidRPr="00BC3515">
                    <w:rPr>
                      <w:rFonts w:ascii="Arial" w:hAnsi="Arial" w:cs="Arial"/>
                    </w:rPr>
                    <w:t xml:space="preserve">This document has been designed to assist </w:t>
                  </w:r>
                  <w:r w:rsidR="002F4316">
                    <w:rPr>
                      <w:rFonts w:ascii="Arial" w:hAnsi="Arial" w:cs="Arial"/>
                    </w:rPr>
                    <w:t xml:space="preserve">Postgraduate </w:t>
                  </w:r>
                  <w:r w:rsidR="00F217F5">
                    <w:rPr>
                      <w:rFonts w:ascii="Arial" w:hAnsi="Arial" w:cs="Arial"/>
                    </w:rPr>
                    <w:t>Doctors</w:t>
                  </w:r>
                  <w:r w:rsidR="00E85BBF">
                    <w:rPr>
                      <w:rFonts w:ascii="Arial" w:hAnsi="Arial" w:cs="Arial"/>
                    </w:rPr>
                    <w:t xml:space="preserve"> in Training</w:t>
                  </w:r>
                  <w:r w:rsidR="007C5D6C">
                    <w:rPr>
                      <w:rFonts w:ascii="Arial" w:hAnsi="Arial" w:cs="Arial"/>
                    </w:rPr>
                    <w:t xml:space="preserve"> in Psychiatry</w:t>
                  </w:r>
                  <w:r w:rsidR="00E85BBF">
                    <w:rPr>
                      <w:rFonts w:ascii="Arial" w:hAnsi="Arial" w:cs="Arial"/>
                    </w:rPr>
                    <w:t>, referred to as Postgraduate Doctors in this guidance,</w:t>
                  </w:r>
                  <w:r w:rsidR="00F217F5">
                    <w:rPr>
                      <w:rFonts w:ascii="Arial" w:hAnsi="Arial" w:cs="Arial"/>
                    </w:rPr>
                    <w:t xml:space="preserve"> </w:t>
                  </w:r>
                  <w:r w:rsidR="00F217F5" w:rsidRPr="00BC3515">
                    <w:rPr>
                      <w:rFonts w:ascii="Arial" w:hAnsi="Arial" w:cs="Arial"/>
                    </w:rPr>
                    <w:t>who</w:t>
                  </w:r>
                  <w:r w:rsidRPr="00BC3515">
                    <w:rPr>
                      <w:rFonts w:ascii="Arial" w:hAnsi="Arial" w:cs="Arial"/>
                    </w:rPr>
                    <w:t xml:space="preserve"> are applying for Study Leave. </w:t>
                  </w:r>
                  <w:r w:rsidR="003635DB" w:rsidRPr="00BC3515">
                    <w:rPr>
                      <w:rFonts w:ascii="Arial" w:hAnsi="Arial" w:cs="Arial"/>
                    </w:rPr>
                    <w:t>However,</w:t>
                  </w:r>
                  <w:r w:rsidRPr="00BC3515">
                    <w:rPr>
                      <w:rFonts w:ascii="Arial" w:hAnsi="Arial" w:cs="Arial"/>
                    </w:rPr>
                    <w:t xml:space="preserve"> it will also assist Clinical &amp; Lead Supervisor</w:t>
                  </w:r>
                  <w:r w:rsidR="00065645">
                    <w:rPr>
                      <w:rFonts w:ascii="Arial" w:hAnsi="Arial" w:cs="Arial"/>
                    </w:rPr>
                    <w:t>s</w:t>
                  </w:r>
                  <w:r w:rsidRPr="00BC3515">
                    <w:rPr>
                      <w:rFonts w:ascii="Arial" w:hAnsi="Arial" w:cs="Arial"/>
                    </w:rPr>
                    <w:t>, TPDs, Rota Coordinators and Specialty Study Leave Administrators who may be involved in the application process.</w:t>
                  </w:r>
                </w:p>
                <w:p w14:paraId="36FE0D01" w14:textId="77777777" w:rsidR="000B585B" w:rsidRPr="00BC3515" w:rsidRDefault="000B585B" w:rsidP="00BC3515">
                  <w:pPr>
                    <w:jc w:val="both"/>
                    <w:rPr>
                      <w:rFonts w:ascii="Arial" w:hAnsi="Arial" w:cs="Arial"/>
                    </w:rPr>
                  </w:pPr>
                </w:p>
              </w:tc>
            </w:tr>
            <w:tr w:rsidR="00BC3515" w:rsidRPr="00BC3515" w14:paraId="5A46FC3C" w14:textId="77777777" w:rsidTr="004818B4">
              <w:tc>
                <w:tcPr>
                  <w:tcW w:w="936" w:type="dxa"/>
                  <w:tcBorders>
                    <w:top w:val="nil"/>
                    <w:left w:val="nil"/>
                    <w:bottom w:val="nil"/>
                    <w:right w:val="nil"/>
                  </w:tcBorders>
                </w:tcPr>
                <w:p w14:paraId="4C7A3617" w14:textId="77777777" w:rsidR="00BC3515" w:rsidRPr="00BC3515" w:rsidRDefault="00BC3515" w:rsidP="000B585B">
                  <w:pPr>
                    <w:pStyle w:val="ListParagraph"/>
                    <w:numPr>
                      <w:ilvl w:val="1"/>
                      <w:numId w:val="1"/>
                    </w:numPr>
                    <w:jc w:val="right"/>
                    <w:rPr>
                      <w:rFonts w:ascii="Arial" w:hAnsi="Arial" w:cs="Arial"/>
                    </w:rPr>
                  </w:pPr>
                </w:p>
              </w:tc>
              <w:tc>
                <w:tcPr>
                  <w:tcW w:w="7569" w:type="dxa"/>
                  <w:tcBorders>
                    <w:top w:val="nil"/>
                    <w:left w:val="nil"/>
                    <w:bottom w:val="nil"/>
                    <w:right w:val="nil"/>
                  </w:tcBorders>
                </w:tcPr>
                <w:p w14:paraId="0779E088" w14:textId="4E1E0FD4" w:rsidR="00BC3515" w:rsidRDefault="00BC3515" w:rsidP="00BC3515">
                  <w:pPr>
                    <w:jc w:val="both"/>
                    <w:rPr>
                      <w:rFonts w:ascii="Arial" w:hAnsi="Arial" w:cs="Arial"/>
                    </w:rPr>
                  </w:pPr>
                  <w:r w:rsidRPr="00BC3515">
                    <w:rPr>
                      <w:rFonts w:ascii="Arial" w:hAnsi="Arial" w:cs="Arial"/>
                    </w:rPr>
                    <w:t xml:space="preserve">This document is intended to provide speciality specific guidance for </w:t>
                  </w:r>
                  <w:r w:rsidR="002F4316">
                    <w:rPr>
                      <w:rFonts w:ascii="Arial" w:hAnsi="Arial" w:cs="Arial"/>
                    </w:rPr>
                    <w:t xml:space="preserve">Postgraduate </w:t>
                  </w:r>
                  <w:r w:rsidR="00431B64">
                    <w:rPr>
                      <w:rFonts w:ascii="Arial" w:hAnsi="Arial" w:cs="Arial"/>
                    </w:rPr>
                    <w:t xml:space="preserve">Doctors </w:t>
                  </w:r>
                  <w:r w:rsidR="00431B64" w:rsidRPr="00BC3515">
                    <w:rPr>
                      <w:rFonts w:ascii="Arial" w:hAnsi="Arial" w:cs="Arial"/>
                    </w:rPr>
                    <w:t>who</w:t>
                  </w:r>
                  <w:r w:rsidRPr="00BC3515">
                    <w:rPr>
                      <w:rFonts w:ascii="Arial" w:hAnsi="Arial" w:cs="Arial"/>
                    </w:rPr>
                    <w:t xml:space="preserve"> are applying for Study </w:t>
                  </w:r>
                  <w:r w:rsidR="003635DB" w:rsidRPr="00BC3515">
                    <w:rPr>
                      <w:rFonts w:ascii="Arial" w:hAnsi="Arial" w:cs="Arial"/>
                    </w:rPr>
                    <w:t>Leave and</w:t>
                  </w:r>
                  <w:r w:rsidRPr="00BC3515">
                    <w:rPr>
                      <w:rFonts w:ascii="Arial" w:hAnsi="Arial" w:cs="Arial"/>
                    </w:rPr>
                    <w:t xml:space="preserve"> should be used in conjunction with the </w:t>
                  </w:r>
                  <w:r w:rsidR="00431B64">
                    <w:rPr>
                      <w:rFonts w:ascii="Arial" w:hAnsi="Arial" w:cs="Arial"/>
                    </w:rPr>
                    <w:t>NHS England</w:t>
                  </w:r>
                  <w:r w:rsidRPr="00BC3515">
                    <w:rPr>
                      <w:rFonts w:ascii="Arial" w:hAnsi="Arial" w:cs="Arial"/>
                    </w:rPr>
                    <w:t xml:space="preserve"> Postgraduate Medical &amp; Dental Education Study Leave Guidelines.</w:t>
                  </w:r>
                </w:p>
                <w:p w14:paraId="69A78284" w14:textId="77777777" w:rsidR="000B585B" w:rsidRPr="00BC3515" w:rsidRDefault="000B585B" w:rsidP="00BC3515">
                  <w:pPr>
                    <w:jc w:val="both"/>
                    <w:rPr>
                      <w:rFonts w:ascii="Arial" w:hAnsi="Arial" w:cs="Arial"/>
                    </w:rPr>
                  </w:pPr>
                </w:p>
              </w:tc>
            </w:tr>
            <w:tr w:rsidR="00BC3515" w:rsidRPr="00BC3515" w14:paraId="738E72F2" w14:textId="77777777" w:rsidTr="004818B4">
              <w:tc>
                <w:tcPr>
                  <w:tcW w:w="936" w:type="dxa"/>
                  <w:tcBorders>
                    <w:top w:val="nil"/>
                    <w:left w:val="nil"/>
                    <w:bottom w:val="nil"/>
                    <w:right w:val="nil"/>
                  </w:tcBorders>
                </w:tcPr>
                <w:p w14:paraId="7047746B" w14:textId="77777777" w:rsidR="00BC3515" w:rsidRPr="00BC3515" w:rsidRDefault="00BC3515" w:rsidP="000B585B">
                  <w:pPr>
                    <w:pStyle w:val="ListParagraph"/>
                    <w:numPr>
                      <w:ilvl w:val="0"/>
                      <w:numId w:val="1"/>
                    </w:numPr>
                    <w:ind w:hanging="720"/>
                    <w:jc w:val="both"/>
                    <w:rPr>
                      <w:rFonts w:ascii="Arial" w:hAnsi="Arial" w:cs="Arial"/>
                      <w:b/>
                      <w:u w:val="single"/>
                    </w:rPr>
                  </w:pPr>
                </w:p>
              </w:tc>
              <w:tc>
                <w:tcPr>
                  <w:tcW w:w="7569" w:type="dxa"/>
                  <w:tcBorders>
                    <w:top w:val="nil"/>
                    <w:left w:val="nil"/>
                    <w:bottom w:val="nil"/>
                    <w:right w:val="nil"/>
                  </w:tcBorders>
                </w:tcPr>
                <w:p w14:paraId="004A18EC" w14:textId="77777777" w:rsidR="00BC3515" w:rsidRDefault="00BC3515" w:rsidP="00BC3515">
                  <w:pPr>
                    <w:jc w:val="both"/>
                    <w:rPr>
                      <w:rFonts w:ascii="Arial" w:hAnsi="Arial" w:cs="Arial"/>
                      <w:b/>
                      <w:u w:val="single"/>
                    </w:rPr>
                  </w:pPr>
                  <w:r w:rsidRPr="00BC3515">
                    <w:rPr>
                      <w:rFonts w:ascii="Arial" w:hAnsi="Arial" w:cs="Arial"/>
                      <w:b/>
                      <w:u w:val="single"/>
                    </w:rPr>
                    <w:t>Purpose of Study Leave</w:t>
                  </w:r>
                </w:p>
                <w:p w14:paraId="35AAC683" w14:textId="77777777" w:rsidR="00854B30" w:rsidRPr="00BC3515" w:rsidRDefault="00854B30" w:rsidP="00BC3515">
                  <w:pPr>
                    <w:jc w:val="both"/>
                    <w:rPr>
                      <w:rFonts w:ascii="Arial" w:hAnsi="Arial" w:cs="Arial"/>
                      <w:b/>
                    </w:rPr>
                  </w:pPr>
                </w:p>
              </w:tc>
            </w:tr>
            <w:tr w:rsidR="00BC3515" w:rsidRPr="00BC3515" w14:paraId="2A110C30" w14:textId="77777777" w:rsidTr="004818B4">
              <w:tc>
                <w:tcPr>
                  <w:tcW w:w="936" w:type="dxa"/>
                  <w:tcBorders>
                    <w:top w:val="nil"/>
                    <w:left w:val="nil"/>
                    <w:bottom w:val="nil"/>
                    <w:right w:val="nil"/>
                  </w:tcBorders>
                </w:tcPr>
                <w:p w14:paraId="3ADC9098" w14:textId="77777777" w:rsidR="00BC3515" w:rsidRPr="00BC3515" w:rsidRDefault="00BC3515" w:rsidP="000B585B">
                  <w:pPr>
                    <w:pStyle w:val="ListParagraph"/>
                    <w:numPr>
                      <w:ilvl w:val="1"/>
                      <w:numId w:val="1"/>
                    </w:numPr>
                    <w:jc w:val="right"/>
                    <w:rPr>
                      <w:rFonts w:ascii="Arial" w:hAnsi="Arial" w:cs="Arial"/>
                    </w:rPr>
                  </w:pPr>
                </w:p>
              </w:tc>
              <w:tc>
                <w:tcPr>
                  <w:tcW w:w="7569" w:type="dxa"/>
                  <w:tcBorders>
                    <w:top w:val="nil"/>
                    <w:left w:val="nil"/>
                    <w:bottom w:val="nil"/>
                    <w:right w:val="nil"/>
                  </w:tcBorders>
                </w:tcPr>
                <w:p w14:paraId="3AA3F99A" w14:textId="5D89940A" w:rsidR="00BC3515" w:rsidRDefault="00BC3515" w:rsidP="00BC3515">
                  <w:pPr>
                    <w:jc w:val="both"/>
                    <w:rPr>
                      <w:rFonts w:ascii="Arial" w:hAnsi="Arial" w:cs="Arial"/>
                    </w:rPr>
                  </w:pPr>
                  <w:r w:rsidRPr="00BC3515">
                    <w:rPr>
                      <w:rFonts w:ascii="Arial" w:hAnsi="Arial" w:cs="Arial"/>
                    </w:rPr>
                    <w:t xml:space="preserve">Study Leave should normally be planned as an integral part of a training </w:t>
                  </w:r>
                  <w:r w:rsidR="00431B64" w:rsidRPr="00BC3515">
                    <w:rPr>
                      <w:rFonts w:ascii="Arial" w:hAnsi="Arial" w:cs="Arial"/>
                    </w:rPr>
                    <w:t>programme and</w:t>
                  </w:r>
                  <w:r w:rsidRPr="00BC3515">
                    <w:rPr>
                      <w:rFonts w:ascii="Arial" w:hAnsi="Arial" w:cs="Arial"/>
                    </w:rPr>
                    <w:t xml:space="preserve"> should be used to provide education and training not otherwise easily acquired in the workplace setting.</w:t>
                  </w:r>
                  <w:r w:rsidR="00065645">
                    <w:rPr>
                      <w:rFonts w:ascii="Arial" w:hAnsi="Arial" w:cs="Arial"/>
                    </w:rPr>
                    <w:t xml:space="preserve"> It should be discussed and agreed with the Clinical and Educational Supervisors, with reference to the relevant curriculum competencies.</w:t>
                  </w:r>
                </w:p>
                <w:p w14:paraId="3FAB4F61" w14:textId="77777777" w:rsidR="000B585B" w:rsidRPr="00BC3515" w:rsidRDefault="000B585B" w:rsidP="00BC3515">
                  <w:pPr>
                    <w:jc w:val="both"/>
                    <w:rPr>
                      <w:rFonts w:ascii="Arial" w:hAnsi="Arial" w:cs="Arial"/>
                    </w:rPr>
                  </w:pPr>
                </w:p>
              </w:tc>
            </w:tr>
            <w:tr w:rsidR="00BC3515" w:rsidRPr="00BC3515" w14:paraId="19BD3444" w14:textId="77777777" w:rsidTr="004818B4">
              <w:tc>
                <w:tcPr>
                  <w:tcW w:w="936" w:type="dxa"/>
                  <w:tcBorders>
                    <w:top w:val="nil"/>
                    <w:left w:val="nil"/>
                    <w:bottom w:val="nil"/>
                    <w:right w:val="nil"/>
                  </w:tcBorders>
                </w:tcPr>
                <w:p w14:paraId="6B0D6002" w14:textId="77777777" w:rsidR="00BC3515" w:rsidRPr="00BC3515" w:rsidRDefault="00BC3515" w:rsidP="000B585B">
                  <w:pPr>
                    <w:pStyle w:val="ListParagraph"/>
                    <w:numPr>
                      <w:ilvl w:val="1"/>
                      <w:numId w:val="1"/>
                    </w:numPr>
                    <w:jc w:val="right"/>
                    <w:rPr>
                      <w:rFonts w:ascii="Arial" w:hAnsi="Arial" w:cs="Arial"/>
                    </w:rPr>
                  </w:pPr>
                </w:p>
              </w:tc>
              <w:tc>
                <w:tcPr>
                  <w:tcW w:w="7569" w:type="dxa"/>
                  <w:tcBorders>
                    <w:top w:val="nil"/>
                    <w:left w:val="nil"/>
                    <w:bottom w:val="nil"/>
                    <w:right w:val="nil"/>
                  </w:tcBorders>
                </w:tcPr>
                <w:p w14:paraId="7B290D02" w14:textId="77C99899" w:rsidR="00BC3515" w:rsidRDefault="00BC3515" w:rsidP="00BC3515">
                  <w:pPr>
                    <w:jc w:val="both"/>
                    <w:rPr>
                      <w:rFonts w:ascii="Arial" w:hAnsi="Arial" w:cs="Arial"/>
                    </w:rPr>
                  </w:pPr>
                  <w:r w:rsidRPr="00BC3515">
                    <w:rPr>
                      <w:rFonts w:ascii="Arial" w:hAnsi="Arial" w:cs="Arial"/>
                    </w:rPr>
                    <w:t xml:space="preserve">Educational activities within Study Leave time should support </w:t>
                  </w:r>
                  <w:r w:rsidR="002F4316">
                    <w:rPr>
                      <w:rFonts w:ascii="Arial" w:hAnsi="Arial" w:cs="Arial"/>
                    </w:rPr>
                    <w:t xml:space="preserve">Postgraduate </w:t>
                  </w:r>
                  <w:r w:rsidR="00F217F5">
                    <w:rPr>
                      <w:rFonts w:ascii="Arial" w:hAnsi="Arial" w:cs="Arial"/>
                    </w:rPr>
                    <w:t xml:space="preserve">Doctors </w:t>
                  </w:r>
                  <w:r w:rsidR="00F217F5" w:rsidRPr="00BC3515">
                    <w:rPr>
                      <w:rFonts w:ascii="Arial" w:hAnsi="Arial" w:cs="Arial"/>
                    </w:rPr>
                    <w:t>to</w:t>
                  </w:r>
                  <w:r w:rsidRPr="00BC3515">
                    <w:rPr>
                      <w:rFonts w:ascii="Arial" w:hAnsi="Arial" w:cs="Arial"/>
                    </w:rPr>
                    <w:t xml:space="preserve"> achieve their curriculum activities and therefore improve the care offered to patients.</w:t>
                  </w:r>
                </w:p>
                <w:p w14:paraId="70E4EF4C" w14:textId="77777777" w:rsidR="000B585B" w:rsidRPr="00BC3515" w:rsidRDefault="000B585B" w:rsidP="00BC3515">
                  <w:pPr>
                    <w:jc w:val="both"/>
                    <w:rPr>
                      <w:rFonts w:ascii="Arial" w:hAnsi="Arial" w:cs="Arial"/>
                    </w:rPr>
                  </w:pPr>
                </w:p>
              </w:tc>
            </w:tr>
            <w:tr w:rsidR="00BC3515" w:rsidRPr="00BC3515" w14:paraId="28CB742B" w14:textId="77777777" w:rsidTr="004818B4">
              <w:tc>
                <w:tcPr>
                  <w:tcW w:w="936" w:type="dxa"/>
                  <w:tcBorders>
                    <w:top w:val="nil"/>
                    <w:left w:val="nil"/>
                    <w:bottom w:val="nil"/>
                    <w:right w:val="nil"/>
                  </w:tcBorders>
                </w:tcPr>
                <w:p w14:paraId="0A8ADFB6" w14:textId="77777777" w:rsidR="00BC3515" w:rsidRPr="00BC3515" w:rsidRDefault="00BC3515" w:rsidP="000B585B">
                  <w:pPr>
                    <w:pStyle w:val="ListParagraph"/>
                    <w:numPr>
                      <w:ilvl w:val="1"/>
                      <w:numId w:val="1"/>
                    </w:numPr>
                    <w:jc w:val="right"/>
                    <w:rPr>
                      <w:rFonts w:ascii="Arial" w:hAnsi="Arial" w:cs="Arial"/>
                    </w:rPr>
                  </w:pPr>
                </w:p>
              </w:tc>
              <w:tc>
                <w:tcPr>
                  <w:tcW w:w="7569" w:type="dxa"/>
                  <w:tcBorders>
                    <w:top w:val="nil"/>
                    <w:left w:val="nil"/>
                    <w:bottom w:val="nil"/>
                    <w:right w:val="nil"/>
                  </w:tcBorders>
                </w:tcPr>
                <w:p w14:paraId="0CB4F5C7" w14:textId="77777777" w:rsidR="00BC3515" w:rsidRDefault="00BC3515" w:rsidP="00BC3515">
                  <w:pPr>
                    <w:jc w:val="both"/>
                    <w:rPr>
                      <w:rFonts w:ascii="Arial" w:hAnsi="Arial" w:cs="Arial"/>
                    </w:rPr>
                  </w:pPr>
                  <w:r w:rsidRPr="00BC3515">
                    <w:rPr>
                      <w:rFonts w:ascii="Arial" w:hAnsi="Arial" w:cs="Arial"/>
                    </w:rPr>
                    <w:t>Study Leave activities should routinely be part of the appraisal dialogue with outcomes contributing to assessments. They should also be part of the documentation accumulated by doctors for revalidation.</w:t>
                  </w:r>
                </w:p>
                <w:p w14:paraId="154590AA" w14:textId="77777777" w:rsidR="000B585B" w:rsidRPr="00BC3515" w:rsidRDefault="000B585B" w:rsidP="00BC3515">
                  <w:pPr>
                    <w:jc w:val="both"/>
                    <w:rPr>
                      <w:rFonts w:ascii="Arial" w:hAnsi="Arial" w:cs="Arial"/>
                    </w:rPr>
                  </w:pPr>
                </w:p>
              </w:tc>
            </w:tr>
            <w:tr w:rsidR="00BC3515" w:rsidRPr="00BC3515" w14:paraId="1152E509" w14:textId="77777777" w:rsidTr="004818B4">
              <w:tc>
                <w:tcPr>
                  <w:tcW w:w="936" w:type="dxa"/>
                  <w:tcBorders>
                    <w:top w:val="nil"/>
                    <w:left w:val="nil"/>
                    <w:bottom w:val="nil"/>
                    <w:right w:val="nil"/>
                  </w:tcBorders>
                </w:tcPr>
                <w:p w14:paraId="2034681F" w14:textId="77777777" w:rsidR="00BC3515" w:rsidRPr="00BC3515" w:rsidRDefault="00BC3515" w:rsidP="000B585B">
                  <w:pPr>
                    <w:pStyle w:val="ListParagraph"/>
                    <w:numPr>
                      <w:ilvl w:val="0"/>
                      <w:numId w:val="1"/>
                    </w:numPr>
                    <w:ind w:hanging="720"/>
                    <w:jc w:val="both"/>
                    <w:rPr>
                      <w:rFonts w:ascii="Arial" w:hAnsi="Arial" w:cs="Arial"/>
                      <w:b/>
                      <w:u w:val="single"/>
                    </w:rPr>
                  </w:pPr>
                </w:p>
              </w:tc>
              <w:tc>
                <w:tcPr>
                  <w:tcW w:w="7569" w:type="dxa"/>
                  <w:tcBorders>
                    <w:top w:val="nil"/>
                    <w:left w:val="nil"/>
                    <w:bottom w:val="nil"/>
                    <w:right w:val="nil"/>
                  </w:tcBorders>
                </w:tcPr>
                <w:p w14:paraId="158B2037" w14:textId="77777777" w:rsidR="00BC3515" w:rsidRDefault="00BC3515" w:rsidP="00BC3515">
                  <w:pPr>
                    <w:jc w:val="both"/>
                    <w:rPr>
                      <w:rFonts w:ascii="Arial" w:hAnsi="Arial" w:cs="Arial"/>
                      <w:b/>
                      <w:u w:val="single"/>
                    </w:rPr>
                  </w:pPr>
                  <w:r w:rsidRPr="00BC3515">
                    <w:rPr>
                      <w:rFonts w:ascii="Arial" w:hAnsi="Arial" w:cs="Arial"/>
                      <w:b/>
                      <w:u w:val="single"/>
                    </w:rPr>
                    <w:t xml:space="preserve">Entitlement to Study Leave </w:t>
                  </w:r>
                </w:p>
                <w:p w14:paraId="155FA53D" w14:textId="77777777" w:rsidR="00854B30" w:rsidRPr="00BC3515" w:rsidRDefault="00854B30" w:rsidP="00BC3515">
                  <w:pPr>
                    <w:jc w:val="both"/>
                    <w:rPr>
                      <w:rFonts w:ascii="Arial" w:hAnsi="Arial" w:cs="Arial"/>
                      <w:b/>
                      <w:u w:val="single"/>
                    </w:rPr>
                  </w:pPr>
                </w:p>
              </w:tc>
            </w:tr>
            <w:tr w:rsidR="00BC3515" w:rsidRPr="00BC3515" w14:paraId="11A289A0" w14:textId="77777777" w:rsidTr="004818B4">
              <w:tc>
                <w:tcPr>
                  <w:tcW w:w="936" w:type="dxa"/>
                  <w:tcBorders>
                    <w:top w:val="nil"/>
                    <w:left w:val="nil"/>
                    <w:bottom w:val="nil"/>
                    <w:right w:val="nil"/>
                  </w:tcBorders>
                </w:tcPr>
                <w:p w14:paraId="342955E0" w14:textId="77777777" w:rsidR="00BC3515" w:rsidRPr="00BC3515" w:rsidRDefault="00BC3515" w:rsidP="000B585B">
                  <w:pPr>
                    <w:pStyle w:val="ListParagraph"/>
                    <w:numPr>
                      <w:ilvl w:val="1"/>
                      <w:numId w:val="1"/>
                    </w:numPr>
                    <w:jc w:val="right"/>
                    <w:rPr>
                      <w:rFonts w:ascii="Arial" w:hAnsi="Arial" w:cs="Arial"/>
                    </w:rPr>
                  </w:pPr>
                </w:p>
              </w:tc>
              <w:tc>
                <w:tcPr>
                  <w:tcW w:w="7569" w:type="dxa"/>
                  <w:tcBorders>
                    <w:top w:val="nil"/>
                    <w:left w:val="nil"/>
                    <w:bottom w:val="nil"/>
                    <w:right w:val="nil"/>
                  </w:tcBorders>
                </w:tcPr>
                <w:p w14:paraId="30D0306B" w14:textId="77777777" w:rsidR="00BC3515" w:rsidRDefault="00BC3515" w:rsidP="00BC3515">
                  <w:pPr>
                    <w:jc w:val="both"/>
                    <w:rPr>
                      <w:rFonts w:ascii="Arial" w:hAnsi="Arial" w:cs="Arial"/>
                    </w:rPr>
                  </w:pPr>
                  <w:r w:rsidRPr="00BC3515">
                    <w:rPr>
                      <w:rFonts w:ascii="Arial" w:hAnsi="Arial" w:cs="Arial"/>
                    </w:rPr>
                    <w:t>The GMC’s “Promoting Excellence” states that “Doctors in training must be able to take Study Leave appropriate to their curriculum or training programme, to the maximum time permitted in their terms and conditions of service”.</w:t>
                  </w:r>
                </w:p>
                <w:p w14:paraId="3DDE3BA2" w14:textId="77777777" w:rsidR="000B585B" w:rsidRPr="00BC3515" w:rsidRDefault="000B585B" w:rsidP="00BC3515">
                  <w:pPr>
                    <w:jc w:val="both"/>
                    <w:rPr>
                      <w:rFonts w:ascii="Arial" w:hAnsi="Arial" w:cs="Arial"/>
                      <w:u w:val="single"/>
                    </w:rPr>
                  </w:pPr>
                </w:p>
              </w:tc>
            </w:tr>
            <w:tr w:rsidR="00BC3515" w:rsidRPr="00BC3515" w14:paraId="3B97B063" w14:textId="77777777" w:rsidTr="004818B4">
              <w:tc>
                <w:tcPr>
                  <w:tcW w:w="936" w:type="dxa"/>
                  <w:tcBorders>
                    <w:top w:val="nil"/>
                    <w:left w:val="nil"/>
                    <w:bottom w:val="nil"/>
                    <w:right w:val="nil"/>
                  </w:tcBorders>
                </w:tcPr>
                <w:p w14:paraId="23867573" w14:textId="77777777" w:rsidR="00BC3515" w:rsidRPr="00BC3515" w:rsidRDefault="00BC3515" w:rsidP="000B585B">
                  <w:pPr>
                    <w:pStyle w:val="ListParagraph"/>
                    <w:numPr>
                      <w:ilvl w:val="1"/>
                      <w:numId w:val="1"/>
                    </w:numPr>
                    <w:jc w:val="right"/>
                    <w:rPr>
                      <w:rFonts w:ascii="Arial" w:hAnsi="Arial" w:cs="Arial"/>
                    </w:rPr>
                  </w:pPr>
                </w:p>
              </w:tc>
              <w:tc>
                <w:tcPr>
                  <w:tcW w:w="7569" w:type="dxa"/>
                  <w:tcBorders>
                    <w:top w:val="nil"/>
                    <w:left w:val="nil"/>
                    <w:bottom w:val="nil"/>
                    <w:right w:val="nil"/>
                  </w:tcBorders>
                </w:tcPr>
                <w:p w14:paraId="78548AB3" w14:textId="4C90B8D3" w:rsidR="00BC3515" w:rsidRDefault="00BC3515" w:rsidP="00BC3515">
                  <w:pPr>
                    <w:jc w:val="both"/>
                    <w:rPr>
                      <w:rFonts w:ascii="Arial" w:hAnsi="Arial" w:cs="Arial"/>
                    </w:rPr>
                  </w:pPr>
                  <w:r w:rsidRPr="00BC3515">
                    <w:rPr>
                      <w:rFonts w:ascii="Arial" w:hAnsi="Arial" w:cs="Arial"/>
                    </w:rPr>
                    <w:t xml:space="preserve">Any Study Leave request is however subject to the need to maintain NHS services and therefore must be authorised by the employing </w:t>
                  </w:r>
                  <w:r w:rsidR="00E4783B">
                    <w:rPr>
                      <w:rFonts w:ascii="Arial" w:hAnsi="Arial" w:cs="Arial"/>
                    </w:rPr>
                    <w:t>T</w:t>
                  </w:r>
                  <w:r w:rsidRPr="00BC3515">
                    <w:rPr>
                      <w:rFonts w:ascii="Arial" w:hAnsi="Arial" w:cs="Arial"/>
                    </w:rPr>
                    <w:t>rust.</w:t>
                  </w:r>
                </w:p>
                <w:p w14:paraId="5E59F1A2" w14:textId="77777777" w:rsidR="000B585B" w:rsidRPr="00BC3515" w:rsidRDefault="000B585B" w:rsidP="00BC3515">
                  <w:pPr>
                    <w:jc w:val="both"/>
                    <w:rPr>
                      <w:rFonts w:ascii="Arial" w:hAnsi="Arial" w:cs="Arial"/>
                      <w:u w:val="single"/>
                    </w:rPr>
                  </w:pPr>
                </w:p>
              </w:tc>
            </w:tr>
            <w:tr w:rsidR="00BC3515" w:rsidRPr="00BC3515" w14:paraId="63499C7C" w14:textId="77777777" w:rsidTr="004818B4">
              <w:tc>
                <w:tcPr>
                  <w:tcW w:w="936" w:type="dxa"/>
                  <w:tcBorders>
                    <w:top w:val="nil"/>
                    <w:left w:val="nil"/>
                    <w:bottom w:val="nil"/>
                    <w:right w:val="nil"/>
                  </w:tcBorders>
                </w:tcPr>
                <w:p w14:paraId="4556AC51" w14:textId="77777777" w:rsidR="00BC3515" w:rsidRPr="00BC3515" w:rsidRDefault="00BC3515" w:rsidP="000B585B">
                  <w:pPr>
                    <w:pStyle w:val="ListParagraph"/>
                    <w:numPr>
                      <w:ilvl w:val="1"/>
                      <w:numId w:val="1"/>
                    </w:numPr>
                    <w:jc w:val="right"/>
                    <w:rPr>
                      <w:rFonts w:ascii="Arial" w:hAnsi="Arial" w:cs="Arial"/>
                    </w:rPr>
                  </w:pPr>
                </w:p>
              </w:tc>
              <w:tc>
                <w:tcPr>
                  <w:tcW w:w="7569" w:type="dxa"/>
                  <w:tcBorders>
                    <w:top w:val="nil"/>
                    <w:left w:val="nil"/>
                    <w:bottom w:val="nil"/>
                    <w:right w:val="nil"/>
                  </w:tcBorders>
                </w:tcPr>
                <w:p w14:paraId="291D7DE9" w14:textId="707E882D" w:rsidR="00BC3515" w:rsidRDefault="002F4316" w:rsidP="00BC3515">
                  <w:pPr>
                    <w:jc w:val="both"/>
                    <w:rPr>
                      <w:rFonts w:ascii="Arial" w:hAnsi="Arial" w:cs="Arial"/>
                    </w:rPr>
                  </w:pPr>
                  <w:r>
                    <w:rPr>
                      <w:rFonts w:ascii="Arial" w:hAnsi="Arial" w:cs="Arial"/>
                    </w:rPr>
                    <w:t xml:space="preserve">Postgraduate </w:t>
                  </w:r>
                  <w:r w:rsidR="00F217F5">
                    <w:rPr>
                      <w:rFonts w:ascii="Arial" w:hAnsi="Arial" w:cs="Arial"/>
                    </w:rPr>
                    <w:t xml:space="preserve">Doctors </w:t>
                  </w:r>
                  <w:r w:rsidR="00F217F5" w:rsidRPr="00BC3515">
                    <w:rPr>
                      <w:rFonts w:ascii="Arial" w:hAnsi="Arial" w:cs="Arial"/>
                    </w:rPr>
                    <w:t>have</w:t>
                  </w:r>
                  <w:r w:rsidR="00BC3515" w:rsidRPr="00BC3515">
                    <w:rPr>
                      <w:rFonts w:ascii="Arial" w:hAnsi="Arial" w:cs="Arial"/>
                    </w:rPr>
                    <w:t xml:space="preserve"> a Study Leave allowance of 30 days per year. </w:t>
                  </w:r>
                  <w:r w:rsidR="00BC3515" w:rsidRPr="000D1170">
                    <w:rPr>
                      <w:rFonts w:ascii="Arial" w:hAnsi="Arial" w:cs="Arial"/>
                    </w:rPr>
                    <w:t xml:space="preserve">LTFT (less than full time) </w:t>
                  </w:r>
                  <w:r w:rsidRPr="000D1170">
                    <w:rPr>
                      <w:rFonts w:ascii="Arial" w:hAnsi="Arial" w:cs="Arial"/>
                    </w:rPr>
                    <w:t xml:space="preserve">Postgraduate </w:t>
                  </w:r>
                  <w:r w:rsidR="00F217F5" w:rsidRPr="000D1170">
                    <w:rPr>
                      <w:rFonts w:ascii="Arial" w:hAnsi="Arial" w:cs="Arial"/>
                    </w:rPr>
                    <w:t>Doctors will</w:t>
                  </w:r>
                  <w:r w:rsidR="00BC3515" w:rsidRPr="000D1170">
                    <w:rPr>
                      <w:rFonts w:ascii="Arial" w:hAnsi="Arial" w:cs="Arial"/>
                    </w:rPr>
                    <w:t xml:space="preserve"> receive equitable access </w:t>
                  </w:r>
                  <w:r w:rsidR="00854B30" w:rsidRPr="000D1170">
                    <w:rPr>
                      <w:rFonts w:ascii="Arial" w:hAnsi="Arial" w:cs="Arial"/>
                    </w:rPr>
                    <w:t>to Study</w:t>
                  </w:r>
                  <w:r w:rsidR="00BC3515" w:rsidRPr="000D1170">
                    <w:rPr>
                      <w:rFonts w:ascii="Arial" w:hAnsi="Arial" w:cs="Arial"/>
                    </w:rPr>
                    <w:t xml:space="preserve"> Leave, which will in practice be a pro rata </w:t>
                  </w:r>
                  <w:r w:rsidR="000D1170" w:rsidRPr="000D1170">
                    <w:rPr>
                      <w:rFonts w:ascii="Arial" w:hAnsi="Arial" w:cs="Arial"/>
                    </w:rPr>
                    <w:t xml:space="preserve">time </w:t>
                  </w:r>
                  <w:r w:rsidR="00BC3515" w:rsidRPr="000D1170">
                    <w:rPr>
                      <w:rFonts w:ascii="Arial" w:hAnsi="Arial" w:cs="Arial"/>
                    </w:rPr>
                    <w:t>allowance</w:t>
                  </w:r>
                  <w:r w:rsidR="000D1170">
                    <w:rPr>
                      <w:rFonts w:ascii="Arial" w:hAnsi="Arial" w:cs="Arial"/>
                    </w:rPr>
                    <w:t xml:space="preserve">.  </w:t>
                  </w:r>
                </w:p>
                <w:p w14:paraId="6B742F5B" w14:textId="77777777" w:rsidR="000B585B" w:rsidRPr="00BC3515" w:rsidRDefault="000B585B" w:rsidP="00BC3515">
                  <w:pPr>
                    <w:jc w:val="both"/>
                    <w:rPr>
                      <w:rFonts w:ascii="Arial" w:hAnsi="Arial" w:cs="Arial"/>
                      <w:u w:val="single"/>
                    </w:rPr>
                  </w:pPr>
                </w:p>
              </w:tc>
            </w:tr>
            <w:tr w:rsidR="00BC3515" w:rsidRPr="00BC3515" w14:paraId="24E1F9AB" w14:textId="77777777" w:rsidTr="004818B4">
              <w:tc>
                <w:tcPr>
                  <w:tcW w:w="936" w:type="dxa"/>
                  <w:tcBorders>
                    <w:top w:val="nil"/>
                    <w:left w:val="nil"/>
                    <w:bottom w:val="nil"/>
                    <w:right w:val="nil"/>
                  </w:tcBorders>
                </w:tcPr>
                <w:p w14:paraId="1A052694" w14:textId="77777777" w:rsidR="00BC3515" w:rsidRPr="00BC3515" w:rsidRDefault="00BC3515" w:rsidP="000B585B">
                  <w:pPr>
                    <w:pStyle w:val="ListParagraph"/>
                    <w:numPr>
                      <w:ilvl w:val="1"/>
                      <w:numId w:val="1"/>
                    </w:numPr>
                    <w:jc w:val="right"/>
                    <w:rPr>
                      <w:rFonts w:ascii="Arial" w:hAnsi="Arial" w:cs="Arial"/>
                    </w:rPr>
                  </w:pPr>
                </w:p>
              </w:tc>
              <w:tc>
                <w:tcPr>
                  <w:tcW w:w="7569" w:type="dxa"/>
                  <w:tcBorders>
                    <w:top w:val="nil"/>
                    <w:left w:val="nil"/>
                    <w:bottom w:val="nil"/>
                    <w:right w:val="nil"/>
                  </w:tcBorders>
                </w:tcPr>
                <w:p w14:paraId="52A5B3F6" w14:textId="3CF7DD09" w:rsidR="00BC3515" w:rsidRDefault="00BC3515" w:rsidP="00BC3515">
                  <w:pPr>
                    <w:jc w:val="both"/>
                    <w:rPr>
                      <w:rFonts w:ascii="Arial" w:hAnsi="Arial" w:cs="Arial"/>
                    </w:rPr>
                  </w:pPr>
                  <w:r w:rsidRPr="00BC3515">
                    <w:rPr>
                      <w:rFonts w:ascii="Arial" w:hAnsi="Arial" w:cs="Arial"/>
                    </w:rPr>
                    <w:t xml:space="preserve">For CT1 and CT2 </w:t>
                  </w:r>
                  <w:r w:rsidR="002F4316">
                    <w:rPr>
                      <w:rFonts w:ascii="Arial" w:hAnsi="Arial" w:cs="Arial"/>
                    </w:rPr>
                    <w:t xml:space="preserve">Postgraduate </w:t>
                  </w:r>
                  <w:r w:rsidR="00F217F5">
                    <w:rPr>
                      <w:rFonts w:ascii="Arial" w:hAnsi="Arial" w:cs="Arial"/>
                    </w:rPr>
                    <w:t>Doctors,</w:t>
                  </w:r>
                  <w:r w:rsidRPr="00BC3515">
                    <w:rPr>
                      <w:rFonts w:ascii="Arial" w:hAnsi="Arial" w:cs="Arial"/>
                    </w:rPr>
                    <w:t xml:space="preserve"> approximately 27 days of their Study Leave allowance will be taken up by attendance at the </w:t>
                  </w:r>
                  <w:proofErr w:type="spellStart"/>
                  <w:r w:rsidRPr="00BC3515">
                    <w:rPr>
                      <w:rFonts w:ascii="Arial" w:hAnsi="Arial" w:cs="Arial"/>
                    </w:rPr>
                    <w:t>MRCPsych</w:t>
                  </w:r>
                  <w:proofErr w:type="spellEnd"/>
                  <w:r w:rsidRPr="00BC3515">
                    <w:rPr>
                      <w:rFonts w:ascii="Arial" w:hAnsi="Arial" w:cs="Arial"/>
                    </w:rPr>
                    <w:t xml:space="preserve"> </w:t>
                  </w:r>
                  <w:r w:rsidR="00E4783B">
                    <w:rPr>
                      <w:rFonts w:ascii="Arial" w:hAnsi="Arial" w:cs="Arial"/>
                    </w:rPr>
                    <w:t>Core Psychiatry Programme</w:t>
                  </w:r>
                  <w:r w:rsidRPr="00BC3515">
                    <w:rPr>
                      <w:rFonts w:ascii="Arial" w:hAnsi="Arial" w:cs="Arial"/>
                    </w:rPr>
                    <w:t xml:space="preserve"> (12 days) and the Local Academic Programme (15 days). However, it is accepted that </w:t>
                  </w:r>
                  <w:r w:rsidR="002F4316">
                    <w:rPr>
                      <w:rFonts w:ascii="Arial" w:hAnsi="Arial" w:cs="Arial"/>
                    </w:rPr>
                    <w:t xml:space="preserve">Postgraduate </w:t>
                  </w:r>
                  <w:r w:rsidR="00F217F5">
                    <w:rPr>
                      <w:rFonts w:ascii="Arial" w:hAnsi="Arial" w:cs="Arial"/>
                    </w:rPr>
                    <w:t xml:space="preserve">Doctor </w:t>
                  </w:r>
                  <w:r w:rsidR="00F217F5" w:rsidRPr="00BC3515">
                    <w:rPr>
                      <w:rFonts w:ascii="Arial" w:hAnsi="Arial" w:cs="Arial"/>
                    </w:rPr>
                    <w:t>may</w:t>
                  </w:r>
                  <w:r w:rsidRPr="00BC3515">
                    <w:rPr>
                      <w:rFonts w:ascii="Arial" w:hAnsi="Arial" w:cs="Arial"/>
                    </w:rPr>
                    <w:t xml:space="preserve"> not be able to attend all these 27 days due to other commitments such as on call shifts, annual leave, sickness etc. A further 2 days of Study Leave are therefore allowed on a discretionary basis to compensate for this. CT1 &amp; CT2 </w:t>
                  </w:r>
                  <w:r w:rsidR="002F4316">
                    <w:rPr>
                      <w:rFonts w:ascii="Arial" w:hAnsi="Arial" w:cs="Arial"/>
                    </w:rPr>
                    <w:lastRenderedPageBreak/>
                    <w:t xml:space="preserve">Postgraduate </w:t>
                  </w:r>
                  <w:r w:rsidR="00F217F5">
                    <w:rPr>
                      <w:rFonts w:ascii="Arial" w:hAnsi="Arial" w:cs="Arial"/>
                    </w:rPr>
                    <w:t xml:space="preserve">Doctors </w:t>
                  </w:r>
                  <w:r w:rsidR="00F217F5" w:rsidRPr="00BC3515">
                    <w:rPr>
                      <w:rFonts w:ascii="Arial" w:hAnsi="Arial" w:cs="Arial"/>
                    </w:rPr>
                    <w:t>will</w:t>
                  </w:r>
                  <w:r w:rsidRPr="00BC3515">
                    <w:rPr>
                      <w:rFonts w:ascii="Arial" w:hAnsi="Arial" w:cs="Arial"/>
                    </w:rPr>
                    <w:t xml:space="preserve"> therefore have a total of 5 days of discretionary Study Leave allowed, in addition to their attendance at the Regional &amp; Local Academic Programmes.</w:t>
                  </w:r>
                </w:p>
                <w:p w14:paraId="39F5C70C" w14:textId="77777777" w:rsidR="000B585B" w:rsidRPr="00BC3515" w:rsidRDefault="000B585B" w:rsidP="00BC3515">
                  <w:pPr>
                    <w:jc w:val="both"/>
                    <w:rPr>
                      <w:rFonts w:ascii="Arial" w:hAnsi="Arial" w:cs="Arial"/>
                      <w:u w:val="single"/>
                    </w:rPr>
                  </w:pPr>
                </w:p>
              </w:tc>
            </w:tr>
            <w:tr w:rsidR="00BC3515" w:rsidRPr="00BC3515" w14:paraId="19B4CF09" w14:textId="77777777" w:rsidTr="004818B4">
              <w:tc>
                <w:tcPr>
                  <w:tcW w:w="936" w:type="dxa"/>
                  <w:tcBorders>
                    <w:top w:val="nil"/>
                    <w:left w:val="nil"/>
                    <w:bottom w:val="nil"/>
                    <w:right w:val="nil"/>
                  </w:tcBorders>
                </w:tcPr>
                <w:p w14:paraId="0C33D497" w14:textId="77777777" w:rsidR="00BC3515" w:rsidRPr="00BC3515" w:rsidRDefault="00BC3515" w:rsidP="000B585B">
                  <w:pPr>
                    <w:pStyle w:val="ListParagraph"/>
                    <w:numPr>
                      <w:ilvl w:val="1"/>
                      <w:numId w:val="1"/>
                    </w:numPr>
                    <w:jc w:val="right"/>
                    <w:rPr>
                      <w:rFonts w:ascii="Arial" w:hAnsi="Arial" w:cs="Arial"/>
                    </w:rPr>
                  </w:pPr>
                </w:p>
              </w:tc>
              <w:tc>
                <w:tcPr>
                  <w:tcW w:w="7569" w:type="dxa"/>
                  <w:tcBorders>
                    <w:top w:val="nil"/>
                    <w:left w:val="nil"/>
                    <w:bottom w:val="nil"/>
                    <w:right w:val="nil"/>
                  </w:tcBorders>
                </w:tcPr>
                <w:p w14:paraId="3B6F5290" w14:textId="6D72CC54" w:rsidR="00BC3515" w:rsidRDefault="00BC3515" w:rsidP="00BC3515">
                  <w:pPr>
                    <w:jc w:val="both"/>
                    <w:rPr>
                      <w:rFonts w:ascii="Arial" w:hAnsi="Arial" w:cs="Arial"/>
                    </w:rPr>
                  </w:pPr>
                  <w:r w:rsidRPr="00BC3515">
                    <w:rPr>
                      <w:rFonts w:ascii="Arial" w:hAnsi="Arial" w:cs="Arial"/>
                    </w:rPr>
                    <w:t xml:space="preserve">A minimum of 70% attendance per year at the Regional &amp; Local Academic Programme is expected in order to meet ARCP requirements. </w:t>
                  </w:r>
                  <w:r w:rsidR="002F4316">
                    <w:rPr>
                      <w:rFonts w:ascii="Arial" w:hAnsi="Arial" w:cs="Arial"/>
                    </w:rPr>
                    <w:t>Postgraduate Doctor</w:t>
                  </w:r>
                  <w:r w:rsidR="00F217F5">
                    <w:rPr>
                      <w:rFonts w:ascii="Arial" w:hAnsi="Arial" w:cs="Arial"/>
                    </w:rPr>
                    <w:t>s</w:t>
                  </w:r>
                  <w:r w:rsidRPr="00BC3515">
                    <w:rPr>
                      <w:rFonts w:ascii="Arial" w:hAnsi="Arial" w:cs="Arial"/>
                    </w:rPr>
                    <w:t xml:space="preserve"> who do not meet this minimum attendance rate may not have other discretionary Study Leave agreed.</w:t>
                  </w:r>
                </w:p>
                <w:p w14:paraId="38BF3082" w14:textId="77777777" w:rsidR="00854B30" w:rsidRPr="00BC3515" w:rsidRDefault="00854B30" w:rsidP="00BC3515">
                  <w:pPr>
                    <w:jc w:val="both"/>
                    <w:rPr>
                      <w:rFonts w:ascii="Arial" w:hAnsi="Arial" w:cs="Arial"/>
                      <w:u w:val="single"/>
                    </w:rPr>
                  </w:pPr>
                </w:p>
              </w:tc>
            </w:tr>
            <w:tr w:rsidR="00BC3515" w:rsidRPr="00BC3515" w14:paraId="0C62ECA8" w14:textId="77777777" w:rsidTr="004818B4">
              <w:tc>
                <w:tcPr>
                  <w:tcW w:w="936" w:type="dxa"/>
                  <w:tcBorders>
                    <w:top w:val="nil"/>
                    <w:left w:val="nil"/>
                    <w:bottom w:val="nil"/>
                    <w:right w:val="nil"/>
                  </w:tcBorders>
                </w:tcPr>
                <w:p w14:paraId="48773DA6" w14:textId="77777777" w:rsidR="00BC3515" w:rsidRPr="00BC3515" w:rsidRDefault="00BC3515" w:rsidP="000B585B">
                  <w:pPr>
                    <w:pStyle w:val="ListParagraph"/>
                    <w:numPr>
                      <w:ilvl w:val="1"/>
                      <w:numId w:val="1"/>
                    </w:numPr>
                    <w:jc w:val="right"/>
                    <w:rPr>
                      <w:rFonts w:ascii="Arial" w:hAnsi="Arial" w:cs="Arial"/>
                    </w:rPr>
                  </w:pPr>
                </w:p>
              </w:tc>
              <w:tc>
                <w:tcPr>
                  <w:tcW w:w="7569" w:type="dxa"/>
                  <w:tcBorders>
                    <w:top w:val="nil"/>
                    <w:left w:val="nil"/>
                    <w:bottom w:val="nil"/>
                    <w:right w:val="nil"/>
                  </w:tcBorders>
                </w:tcPr>
                <w:p w14:paraId="2184D7AF" w14:textId="1B27199A" w:rsidR="00BC3515" w:rsidRPr="00312939" w:rsidRDefault="00E81F8E" w:rsidP="00E81F8E">
                  <w:pPr>
                    <w:jc w:val="both"/>
                    <w:rPr>
                      <w:rFonts w:ascii="Arial" w:hAnsi="Arial" w:cs="Arial"/>
                    </w:rPr>
                  </w:pPr>
                  <w:r w:rsidRPr="00312939">
                    <w:rPr>
                      <w:rFonts w:ascii="Arial" w:hAnsi="Arial" w:cs="Arial"/>
                    </w:rPr>
                    <w:t xml:space="preserve">It is not compulsory for CT3 </w:t>
                  </w:r>
                  <w:r w:rsidR="002F4316">
                    <w:rPr>
                      <w:rFonts w:ascii="Arial" w:hAnsi="Arial" w:cs="Arial"/>
                    </w:rPr>
                    <w:t xml:space="preserve">Postgraduate </w:t>
                  </w:r>
                  <w:r w:rsidR="00F217F5">
                    <w:rPr>
                      <w:rFonts w:ascii="Arial" w:hAnsi="Arial" w:cs="Arial"/>
                    </w:rPr>
                    <w:t xml:space="preserve">Doctors </w:t>
                  </w:r>
                  <w:r w:rsidR="00F217F5" w:rsidRPr="00312939">
                    <w:rPr>
                      <w:rFonts w:ascii="Arial" w:hAnsi="Arial" w:cs="Arial"/>
                    </w:rPr>
                    <w:t>to</w:t>
                  </w:r>
                  <w:r w:rsidRPr="00312939">
                    <w:rPr>
                      <w:rFonts w:ascii="Arial" w:hAnsi="Arial" w:cs="Arial"/>
                    </w:rPr>
                    <w:t xml:space="preserve"> attend the Regional &amp; Local Academic Programmes, </w:t>
                  </w:r>
                  <w:r w:rsidR="00BC3515" w:rsidRPr="00312939">
                    <w:rPr>
                      <w:rFonts w:ascii="Arial" w:hAnsi="Arial" w:cs="Arial"/>
                    </w:rPr>
                    <w:t xml:space="preserve">assuming they have met minimum requirements for attendance in previous years. </w:t>
                  </w:r>
                  <w:r w:rsidRPr="00312939">
                    <w:rPr>
                      <w:rFonts w:ascii="Arial" w:hAnsi="Arial" w:cs="Arial"/>
                    </w:rPr>
                    <w:t xml:space="preserve">It is however expected that they will attend their Local Programme </w:t>
                  </w:r>
                  <w:r w:rsidR="003635DB" w:rsidRPr="00312939">
                    <w:rPr>
                      <w:rFonts w:ascii="Arial" w:hAnsi="Arial" w:cs="Arial"/>
                    </w:rPr>
                    <w:t>to</w:t>
                  </w:r>
                  <w:r w:rsidRPr="00312939">
                    <w:rPr>
                      <w:rFonts w:ascii="Arial" w:hAnsi="Arial" w:cs="Arial"/>
                    </w:rPr>
                    <w:t xml:space="preserve"> contribute to discussions for case conferences and journal club, unless they have other commitments or have insufficient study leave remaining.</w:t>
                  </w:r>
                </w:p>
                <w:p w14:paraId="005307E8" w14:textId="77777777" w:rsidR="000B585B" w:rsidRPr="00BC3515" w:rsidRDefault="000B585B" w:rsidP="00E81F8E">
                  <w:pPr>
                    <w:jc w:val="both"/>
                    <w:rPr>
                      <w:rFonts w:ascii="Arial" w:hAnsi="Arial" w:cs="Arial"/>
                      <w:u w:val="single"/>
                    </w:rPr>
                  </w:pPr>
                </w:p>
              </w:tc>
            </w:tr>
            <w:tr w:rsidR="00BC3515" w:rsidRPr="00BC3515" w14:paraId="4AE516EE" w14:textId="77777777" w:rsidTr="004818B4">
              <w:tc>
                <w:tcPr>
                  <w:tcW w:w="936" w:type="dxa"/>
                  <w:tcBorders>
                    <w:top w:val="nil"/>
                    <w:left w:val="nil"/>
                    <w:bottom w:val="nil"/>
                    <w:right w:val="nil"/>
                  </w:tcBorders>
                </w:tcPr>
                <w:p w14:paraId="4A1DA44D" w14:textId="77777777" w:rsidR="001C6C3C" w:rsidRDefault="001C6C3C" w:rsidP="000B585B">
                  <w:pPr>
                    <w:pStyle w:val="ListParagraph"/>
                    <w:numPr>
                      <w:ilvl w:val="1"/>
                      <w:numId w:val="1"/>
                    </w:numPr>
                    <w:jc w:val="right"/>
                    <w:rPr>
                      <w:rFonts w:ascii="Arial" w:hAnsi="Arial" w:cs="Arial"/>
                    </w:rPr>
                  </w:pPr>
                </w:p>
                <w:p w14:paraId="6E34F9D3" w14:textId="77777777" w:rsidR="001C6C3C" w:rsidRPr="001C6C3C" w:rsidRDefault="001C6C3C" w:rsidP="001C6C3C"/>
                <w:p w14:paraId="0160F8BC" w14:textId="77777777" w:rsidR="001C6C3C" w:rsidRDefault="001C6C3C" w:rsidP="001C6C3C"/>
                <w:p w14:paraId="0032F920" w14:textId="77777777" w:rsidR="001C6C3C" w:rsidRDefault="001C6C3C" w:rsidP="001C6C3C"/>
                <w:p w14:paraId="3E8BF646" w14:textId="77777777" w:rsidR="00BC3515" w:rsidRPr="001C6C3C" w:rsidRDefault="00BC3515" w:rsidP="000B585B">
                  <w:pPr>
                    <w:rPr>
                      <w:rFonts w:ascii="Arial" w:hAnsi="Arial" w:cs="Arial"/>
                      <w:b/>
                    </w:rPr>
                  </w:pPr>
                </w:p>
              </w:tc>
              <w:tc>
                <w:tcPr>
                  <w:tcW w:w="7569" w:type="dxa"/>
                  <w:tcBorders>
                    <w:top w:val="nil"/>
                    <w:left w:val="nil"/>
                    <w:bottom w:val="nil"/>
                    <w:right w:val="nil"/>
                  </w:tcBorders>
                </w:tcPr>
                <w:p w14:paraId="1A73C2DE" w14:textId="24E2216F" w:rsidR="00D56B82" w:rsidRDefault="00D56B82" w:rsidP="00854B30">
                  <w:pPr>
                    <w:jc w:val="both"/>
                    <w:rPr>
                      <w:rFonts w:ascii="Arial" w:hAnsi="Arial" w:cs="Arial"/>
                    </w:rPr>
                  </w:pPr>
                  <w:r>
                    <w:rPr>
                      <w:rFonts w:ascii="Arial" w:hAnsi="Arial" w:cs="Arial"/>
                    </w:rPr>
                    <w:t xml:space="preserve">Academic Clinical Fellowship (ACF) </w:t>
                  </w:r>
                  <w:r w:rsidR="002F4316">
                    <w:rPr>
                      <w:rFonts w:ascii="Arial" w:hAnsi="Arial" w:cs="Arial"/>
                    </w:rPr>
                    <w:t xml:space="preserve">Postgraduate </w:t>
                  </w:r>
                  <w:r w:rsidR="00F217F5">
                    <w:rPr>
                      <w:rFonts w:ascii="Arial" w:hAnsi="Arial" w:cs="Arial"/>
                    </w:rPr>
                    <w:t>Doctors are</w:t>
                  </w:r>
                  <w:r>
                    <w:rPr>
                      <w:rFonts w:ascii="Arial" w:hAnsi="Arial" w:cs="Arial"/>
                    </w:rPr>
                    <w:t xml:space="preserve"> required to be released to attend their compulsory University teaching days, in addition to and irrespective of their use of Study Leave to attend the MRCPsych and Local Academic Programmes.</w:t>
                  </w:r>
                </w:p>
                <w:p w14:paraId="66078E25" w14:textId="77777777" w:rsidR="000B585B" w:rsidRPr="001C6C3C" w:rsidRDefault="000B585B" w:rsidP="000B585B">
                  <w:pPr>
                    <w:jc w:val="both"/>
                    <w:rPr>
                      <w:rFonts w:ascii="Arial" w:hAnsi="Arial" w:cs="Arial"/>
                    </w:rPr>
                  </w:pPr>
                </w:p>
              </w:tc>
            </w:tr>
            <w:tr w:rsidR="000B585B" w:rsidRPr="00BC3515" w14:paraId="4135DBA4" w14:textId="77777777" w:rsidTr="004818B4">
              <w:tc>
                <w:tcPr>
                  <w:tcW w:w="936" w:type="dxa"/>
                  <w:tcBorders>
                    <w:top w:val="nil"/>
                    <w:left w:val="nil"/>
                    <w:bottom w:val="nil"/>
                    <w:right w:val="nil"/>
                  </w:tcBorders>
                </w:tcPr>
                <w:p w14:paraId="51AD7B1B" w14:textId="77777777" w:rsidR="000B585B" w:rsidRDefault="000B585B" w:rsidP="000B585B">
                  <w:pPr>
                    <w:pStyle w:val="ListParagraph"/>
                    <w:numPr>
                      <w:ilvl w:val="1"/>
                      <w:numId w:val="1"/>
                    </w:numPr>
                    <w:jc w:val="right"/>
                    <w:rPr>
                      <w:rFonts w:ascii="Arial" w:hAnsi="Arial" w:cs="Arial"/>
                    </w:rPr>
                  </w:pPr>
                </w:p>
              </w:tc>
              <w:tc>
                <w:tcPr>
                  <w:tcW w:w="7569" w:type="dxa"/>
                  <w:tcBorders>
                    <w:top w:val="nil"/>
                    <w:left w:val="nil"/>
                    <w:bottom w:val="nil"/>
                    <w:right w:val="nil"/>
                  </w:tcBorders>
                </w:tcPr>
                <w:p w14:paraId="0758A210" w14:textId="77777777" w:rsidR="000B585B" w:rsidRPr="00C92722" w:rsidRDefault="000B585B" w:rsidP="000B585B">
                  <w:pPr>
                    <w:jc w:val="both"/>
                    <w:rPr>
                      <w:rFonts w:ascii="Arial" w:hAnsi="Arial" w:cs="Arial"/>
                    </w:rPr>
                  </w:pPr>
                  <w:r w:rsidRPr="00C92722">
                    <w:rPr>
                      <w:rFonts w:ascii="Arial" w:hAnsi="Arial" w:cs="Arial"/>
                    </w:rPr>
                    <w:t>Attendance at an MRCPsych examination should be applied for as a day of Study Leave.</w:t>
                  </w:r>
                </w:p>
                <w:p w14:paraId="6E4DFED3" w14:textId="77777777" w:rsidR="000B585B" w:rsidRDefault="000B585B" w:rsidP="00854B30">
                  <w:pPr>
                    <w:jc w:val="both"/>
                    <w:rPr>
                      <w:rFonts w:ascii="Arial" w:hAnsi="Arial" w:cs="Arial"/>
                    </w:rPr>
                  </w:pPr>
                </w:p>
              </w:tc>
            </w:tr>
            <w:tr w:rsidR="00BC3515" w:rsidRPr="00BC3515" w14:paraId="6E00C81A" w14:textId="77777777" w:rsidTr="004818B4">
              <w:tc>
                <w:tcPr>
                  <w:tcW w:w="936" w:type="dxa"/>
                  <w:tcBorders>
                    <w:top w:val="nil"/>
                    <w:left w:val="nil"/>
                    <w:bottom w:val="nil"/>
                    <w:right w:val="nil"/>
                  </w:tcBorders>
                </w:tcPr>
                <w:p w14:paraId="4A37E723" w14:textId="77777777" w:rsidR="00BC3515" w:rsidRPr="001C6C3C" w:rsidRDefault="001C6C3C" w:rsidP="000B585B">
                  <w:pPr>
                    <w:jc w:val="right"/>
                    <w:rPr>
                      <w:rFonts w:ascii="Arial" w:hAnsi="Arial" w:cs="Arial"/>
                      <w:b/>
                    </w:rPr>
                  </w:pPr>
                  <w:r w:rsidRPr="001C6C3C">
                    <w:rPr>
                      <w:rFonts w:ascii="Arial" w:hAnsi="Arial" w:cs="Arial"/>
                      <w:b/>
                    </w:rPr>
                    <w:t>3.9</w:t>
                  </w:r>
                </w:p>
              </w:tc>
              <w:tc>
                <w:tcPr>
                  <w:tcW w:w="7569" w:type="dxa"/>
                  <w:tcBorders>
                    <w:top w:val="nil"/>
                    <w:left w:val="nil"/>
                    <w:bottom w:val="nil"/>
                    <w:right w:val="nil"/>
                  </w:tcBorders>
                </w:tcPr>
                <w:p w14:paraId="29D5C424" w14:textId="413B2B92" w:rsidR="007C5D6C" w:rsidRDefault="00BC3515" w:rsidP="00BC3515">
                  <w:pPr>
                    <w:jc w:val="both"/>
                    <w:rPr>
                      <w:rFonts w:ascii="Arial" w:hAnsi="Arial" w:cs="Arial"/>
                    </w:rPr>
                  </w:pPr>
                  <w:r w:rsidRPr="00BC3515">
                    <w:rPr>
                      <w:rFonts w:ascii="Arial" w:hAnsi="Arial" w:cs="Arial"/>
                    </w:rPr>
                    <w:t xml:space="preserve">CT3 </w:t>
                  </w:r>
                  <w:r w:rsidR="002F4316">
                    <w:rPr>
                      <w:rFonts w:ascii="Arial" w:hAnsi="Arial" w:cs="Arial"/>
                    </w:rPr>
                    <w:t>Postgraduate Doctor</w:t>
                  </w:r>
                  <w:r w:rsidR="00F217F5">
                    <w:rPr>
                      <w:rFonts w:ascii="Arial" w:hAnsi="Arial" w:cs="Arial"/>
                    </w:rPr>
                    <w:t>s</w:t>
                  </w:r>
                  <w:r w:rsidR="002F4316">
                    <w:rPr>
                      <w:rFonts w:ascii="Arial" w:hAnsi="Arial" w:cs="Arial"/>
                    </w:rPr>
                    <w:t xml:space="preserve"> </w:t>
                  </w:r>
                  <w:r w:rsidRPr="00BC3515">
                    <w:rPr>
                      <w:rFonts w:ascii="Arial" w:hAnsi="Arial" w:cs="Arial"/>
                    </w:rPr>
                    <w:t>can request up to a maximum of 7 days leave per year for personal study.</w:t>
                  </w:r>
                </w:p>
                <w:p w14:paraId="05DC42F1" w14:textId="77777777" w:rsidR="000B585B" w:rsidRPr="001C6C3C" w:rsidRDefault="000B585B" w:rsidP="00BC3515">
                  <w:pPr>
                    <w:jc w:val="both"/>
                    <w:rPr>
                      <w:rFonts w:ascii="Arial" w:hAnsi="Arial" w:cs="Arial"/>
                    </w:rPr>
                  </w:pPr>
                </w:p>
              </w:tc>
            </w:tr>
            <w:tr w:rsidR="00BC3515" w:rsidRPr="00BC3515" w14:paraId="38CF7AEA" w14:textId="77777777" w:rsidTr="004818B4">
              <w:tc>
                <w:tcPr>
                  <w:tcW w:w="936" w:type="dxa"/>
                  <w:tcBorders>
                    <w:top w:val="nil"/>
                    <w:left w:val="nil"/>
                    <w:bottom w:val="nil"/>
                    <w:right w:val="nil"/>
                  </w:tcBorders>
                </w:tcPr>
                <w:p w14:paraId="2F098243" w14:textId="77777777" w:rsidR="00BC3515" w:rsidRPr="001C6C3C" w:rsidRDefault="001C6C3C" w:rsidP="000B585B">
                  <w:pPr>
                    <w:jc w:val="right"/>
                    <w:rPr>
                      <w:rFonts w:ascii="Arial" w:hAnsi="Arial" w:cs="Arial"/>
                      <w:b/>
                    </w:rPr>
                  </w:pPr>
                  <w:r w:rsidRPr="001C6C3C">
                    <w:rPr>
                      <w:rFonts w:ascii="Arial" w:hAnsi="Arial" w:cs="Arial"/>
                      <w:b/>
                    </w:rPr>
                    <w:t>3.10</w:t>
                  </w:r>
                </w:p>
              </w:tc>
              <w:tc>
                <w:tcPr>
                  <w:tcW w:w="7569" w:type="dxa"/>
                  <w:tcBorders>
                    <w:top w:val="nil"/>
                    <w:left w:val="nil"/>
                    <w:bottom w:val="nil"/>
                    <w:right w:val="nil"/>
                  </w:tcBorders>
                </w:tcPr>
                <w:p w14:paraId="1AD6FEB6" w14:textId="610D225E" w:rsidR="00BC3515" w:rsidRDefault="00BC3515" w:rsidP="00BC3515">
                  <w:pPr>
                    <w:jc w:val="both"/>
                    <w:rPr>
                      <w:rFonts w:ascii="Arial" w:hAnsi="Arial" w:cs="Arial"/>
                    </w:rPr>
                  </w:pPr>
                  <w:r w:rsidRPr="00BC3515">
                    <w:rPr>
                      <w:rFonts w:ascii="Arial" w:hAnsi="Arial" w:cs="Arial"/>
                    </w:rPr>
                    <w:t xml:space="preserve">The </w:t>
                  </w:r>
                  <w:r w:rsidR="000D1170">
                    <w:rPr>
                      <w:rFonts w:ascii="Arial" w:hAnsi="Arial" w:cs="Arial"/>
                    </w:rPr>
                    <w:t xml:space="preserve">time </w:t>
                  </w:r>
                  <w:r w:rsidRPr="00BC3515">
                    <w:rPr>
                      <w:rFonts w:ascii="Arial" w:hAnsi="Arial" w:cs="Arial"/>
                    </w:rPr>
                    <w:t xml:space="preserve">allowance for LTFT </w:t>
                  </w:r>
                  <w:r w:rsidR="002F4316">
                    <w:rPr>
                      <w:rFonts w:ascii="Arial" w:hAnsi="Arial" w:cs="Arial"/>
                    </w:rPr>
                    <w:t>Postgraduate Doctor</w:t>
                  </w:r>
                  <w:r w:rsidR="00F217F5">
                    <w:rPr>
                      <w:rFonts w:ascii="Arial" w:hAnsi="Arial" w:cs="Arial"/>
                    </w:rPr>
                    <w:t>s</w:t>
                  </w:r>
                  <w:r w:rsidR="002F4316">
                    <w:rPr>
                      <w:rFonts w:ascii="Arial" w:hAnsi="Arial" w:cs="Arial"/>
                    </w:rPr>
                    <w:t xml:space="preserve"> </w:t>
                  </w:r>
                  <w:r w:rsidRPr="00BC3515">
                    <w:rPr>
                      <w:rFonts w:ascii="Arial" w:hAnsi="Arial" w:cs="Arial"/>
                    </w:rPr>
                    <w:t xml:space="preserve">is calculated pro rata. For example, a </w:t>
                  </w:r>
                  <w:r w:rsidR="005C298F">
                    <w:rPr>
                      <w:rFonts w:ascii="Arial" w:hAnsi="Arial" w:cs="Arial"/>
                    </w:rPr>
                    <w:t xml:space="preserve">Postgraduate Doctor </w:t>
                  </w:r>
                  <w:r w:rsidRPr="00BC3515">
                    <w:rPr>
                      <w:rFonts w:ascii="Arial" w:hAnsi="Arial" w:cs="Arial"/>
                    </w:rPr>
                    <w:t>working LTFT at 60% would have an allowance of 18 days per year</w:t>
                  </w:r>
                  <w:r w:rsidRPr="00D56B82">
                    <w:rPr>
                      <w:rFonts w:ascii="Arial" w:hAnsi="Arial" w:cs="Arial"/>
                    </w:rPr>
                    <w:t xml:space="preserve">. However, a </w:t>
                  </w:r>
                  <w:r w:rsidR="005C298F">
                    <w:rPr>
                      <w:rFonts w:ascii="Arial" w:hAnsi="Arial" w:cs="Arial"/>
                    </w:rPr>
                    <w:t xml:space="preserve">Postgraduate Doctor </w:t>
                  </w:r>
                  <w:r w:rsidRPr="00D56B82">
                    <w:rPr>
                      <w:rFonts w:ascii="Arial" w:hAnsi="Arial" w:cs="Arial"/>
                    </w:rPr>
                    <w:t xml:space="preserve">may request to take greater than the pro rata allocation within a calendar year to enable them to take advantage of </w:t>
                  </w:r>
                  <w:proofErr w:type="gramStart"/>
                  <w:r w:rsidR="000D1170">
                    <w:rPr>
                      <w:rFonts w:ascii="Arial" w:hAnsi="Arial" w:cs="Arial"/>
                    </w:rPr>
                    <w:t xml:space="preserve">particular </w:t>
                  </w:r>
                  <w:r w:rsidR="000D1170" w:rsidRPr="00D56B82">
                    <w:rPr>
                      <w:rFonts w:ascii="Arial" w:hAnsi="Arial" w:cs="Arial"/>
                    </w:rPr>
                    <w:t>learning</w:t>
                  </w:r>
                  <w:proofErr w:type="gramEnd"/>
                  <w:r w:rsidRPr="00D56B82">
                    <w:rPr>
                      <w:rFonts w:ascii="Arial" w:hAnsi="Arial" w:cs="Arial"/>
                    </w:rPr>
                    <w:t xml:space="preserve"> opportunities, with a corresponding reduction in the subsequent Study Leave allowance for the time remaining within that core training year.</w:t>
                  </w:r>
                  <w:r w:rsidR="00065645" w:rsidRPr="00D56B82">
                    <w:rPr>
                      <w:rFonts w:ascii="Arial" w:hAnsi="Arial" w:cs="Arial"/>
                    </w:rPr>
                    <w:t xml:space="preserve"> </w:t>
                  </w:r>
                  <w:r w:rsidR="000D1170">
                    <w:rPr>
                      <w:rFonts w:ascii="Arial" w:hAnsi="Arial" w:cs="Arial"/>
                    </w:rPr>
                    <w:t xml:space="preserve">LTFT postgraduate doctors will </w:t>
                  </w:r>
                  <w:r w:rsidR="00670FD0">
                    <w:rPr>
                      <w:rFonts w:ascii="Arial" w:hAnsi="Arial" w:cs="Arial"/>
                    </w:rPr>
                    <w:t xml:space="preserve">have </w:t>
                  </w:r>
                  <w:r w:rsidR="00670FD0" w:rsidRPr="000D1170">
                    <w:rPr>
                      <w:rFonts w:ascii="Arial" w:hAnsi="Arial" w:cs="Arial"/>
                    </w:rPr>
                    <w:t>access</w:t>
                  </w:r>
                  <w:r w:rsidR="000D1170" w:rsidRPr="000D1170">
                    <w:rPr>
                      <w:rFonts w:ascii="Arial" w:hAnsi="Arial" w:cs="Arial"/>
                    </w:rPr>
                    <w:t xml:space="preserve"> to the same financial budget </w:t>
                  </w:r>
                  <w:r w:rsidR="000D1170">
                    <w:rPr>
                      <w:rFonts w:ascii="Arial" w:hAnsi="Arial" w:cs="Arial"/>
                    </w:rPr>
                    <w:t xml:space="preserve">per year </w:t>
                  </w:r>
                  <w:r w:rsidR="000D1170" w:rsidRPr="000D1170">
                    <w:rPr>
                      <w:rFonts w:ascii="Arial" w:hAnsi="Arial" w:cs="Arial"/>
                    </w:rPr>
                    <w:t xml:space="preserve">as </w:t>
                  </w:r>
                  <w:proofErr w:type="gramStart"/>
                  <w:r w:rsidR="000D1170" w:rsidRPr="000D1170">
                    <w:rPr>
                      <w:rFonts w:ascii="Arial" w:hAnsi="Arial" w:cs="Arial"/>
                    </w:rPr>
                    <w:t>full time</w:t>
                  </w:r>
                  <w:proofErr w:type="gramEnd"/>
                  <w:r w:rsidR="000D1170" w:rsidRPr="000D1170">
                    <w:rPr>
                      <w:rFonts w:ascii="Arial" w:hAnsi="Arial" w:cs="Arial"/>
                    </w:rPr>
                    <w:t xml:space="preserve"> postgraduate Doctors.  </w:t>
                  </w:r>
                </w:p>
                <w:p w14:paraId="44F652B3" w14:textId="77777777" w:rsidR="000B585B" w:rsidRPr="00BC3515" w:rsidRDefault="000B585B" w:rsidP="00BC3515">
                  <w:pPr>
                    <w:jc w:val="both"/>
                    <w:rPr>
                      <w:rFonts w:ascii="Arial" w:hAnsi="Arial" w:cs="Arial"/>
                      <w:u w:val="single"/>
                    </w:rPr>
                  </w:pPr>
                </w:p>
              </w:tc>
            </w:tr>
            <w:tr w:rsidR="00BC3515" w:rsidRPr="00BC3515" w14:paraId="7B3519DD" w14:textId="77777777" w:rsidTr="004818B4">
              <w:tc>
                <w:tcPr>
                  <w:tcW w:w="936" w:type="dxa"/>
                  <w:tcBorders>
                    <w:top w:val="nil"/>
                    <w:left w:val="nil"/>
                    <w:bottom w:val="nil"/>
                    <w:right w:val="nil"/>
                  </w:tcBorders>
                </w:tcPr>
                <w:p w14:paraId="0AAB2D57" w14:textId="77777777" w:rsidR="00BC3515" w:rsidRPr="00854B30" w:rsidRDefault="001C6C3C" w:rsidP="000B585B">
                  <w:pPr>
                    <w:jc w:val="right"/>
                    <w:rPr>
                      <w:rFonts w:ascii="Arial" w:hAnsi="Arial" w:cs="Arial"/>
                      <w:b/>
                    </w:rPr>
                  </w:pPr>
                  <w:r>
                    <w:rPr>
                      <w:rFonts w:ascii="Arial" w:hAnsi="Arial" w:cs="Arial"/>
                      <w:b/>
                    </w:rPr>
                    <w:t>3.11</w:t>
                  </w:r>
                </w:p>
              </w:tc>
              <w:tc>
                <w:tcPr>
                  <w:tcW w:w="7569" w:type="dxa"/>
                  <w:tcBorders>
                    <w:top w:val="nil"/>
                    <w:left w:val="nil"/>
                    <w:bottom w:val="nil"/>
                    <w:right w:val="nil"/>
                  </w:tcBorders>
                </w:tcPr>
                <w:p w14:paraId="63F71D46" w14:textId="77777777" w:rsidR="00BC3515" w:rsidRDefault="00BC3515" w:rsidP="00E05045">
                  <w:pPr>
                    <w:jc w:val="both"/>
                    <w:rPr>
                      <w:rFonts w:ascii="Arial" w:hAnsi="Arial" w:cs="Arial"/>
                    </w:rPr>
                  </w:pPr>
                  <w:r w:rsidRPr="00BC3515">
                    <w:rPr>
                      <w:rFonts w:ascii="Arial" w:hAnsi="Arial" w:cs="Arial"/>
                    </w:rPr>
                    <w:t>When calculating Study Leave, all the days carrying a liability for expenses are counted, including weekends and Bank Holidays. Time spent travelling to and from the event is also counted.</w:t>
                  </w:r>
                </w:p>
                <w:p w14:paraId="1A2AE8E3" w14:textId="77777777" w:rsidR="000B585B" w:rsidRPr="00BC3515" w:rsidRDefault="000B585B" w:rsidP="00E05045">
                  <w:pPr>
                    <w:jc w:val="both"/>
                    <w:rPr>
                      <w:rFonts w:ascii="Arial" w:hAnsi="Arial" w:cs="Arial"/>
                      <w:u w:val="single"/>
                    </w:rPr>
                  </w:pPr>
                </w:p>
              </w:tc>
            </w:tr>
            <w:tr w:rsidR="00BC3515" w:rsidRPr="00BC3515" w14:paraId="0D964F21" w14:textId="77777777" w:rsidTr="004818B4">
              <w:tc>
                <w:tcPr>
                  <w:tcW w:w="936" w:type="dxa"/>
                  <w:tcBorders>
                    <w:top w:val="nil"/>
                    <w:left w:val="nil"/>
                    <w:bottom w:val="nil"/>
                    <w:right w:val="nil"/>
                  </w:tcBorders>
                </w:tcPr>
                <w:p w14:paraId="3F2E257A" w14:textId="77777777" w:rsidR="00BC3515" w:rsidRPr="001C6C3C" w:rsidRDefault="001C6C3C" w:rsidP="000B585B">
                  <w:pPr>
                    <w:jc w:val="right"/>
                    <w:rPr>
                      <w:rFonts w:ascii="Arial" w:hAnsi="Arial" w:cs="Arial"/>
                      <w:b/>
                    </w:rPr>
                  </w:pPr>
                  <w:r>
                    <w:rPr>
                      <w:rFonts w:ascii="Arial" w:hAnsi="Arial" w:cs="Arial"/>
                      <w:b/>
                    </w:rPr>
                    <w:t>3.12</w:t>
                  </w:r>
                </w:p>
              </w:tc>
              <w:tc>
                <w:tcPr>
                  <w:tcW w:w="7569" w:type="dxa"/>
                  <w:tcBorders>
                    <w:top w:val="nil"/>
                    <w:left w:val="nil"/>
                    <w:bottom w:val="nil"/>
                    <w:right w:val="nil"/>
                  </w:tcBorders>
                </w:tcPr>
                <w:p w14:paraId="68608C44" w14:textId="77777777" w:rsidR="00BC3515" w:rsidRDefault="00BC3515" w:rsidP="00BC3515">
                  <w:pPr>
                    <w:jc w:val="both"/>
                    <w:rPr>
                      <w:rFonts w:ascii="Arial" w:hAnsi="Arial" w:cs="Arial"/>
                    </w:rPr>
                  </w:pPr>
                  <w:r w:rsidRPr="00BC3515">
                    <w:rPr>
                      <w:rFonts w:ascii="Arial" w:hAnsi="Arial" w:cs="Arial"/>
                    </w:rPr>
                    <w:t>Study Leave may be granted above the general limit allowed on a discretionary basis</w:t>
                  </w:r>
                  <w:r w:rsidR="00D56B82">
                    <w:rPr>
                      <w:rFonts w:ascii="Arial" w:hAnsi="Arial" w:cs="Arial"/>
                    </w:rPr>
                    <w:t>,</w:t>
                  </w:r>
                  <w:r w:rsidRPr="00BC3515">
                    <w:rPr>
                      <w:rFonts w:ascii="Arial" w:hAnsi="Arial" w:cs="Arial"/>
                    </w:rPr>
                    <w:t xml:space="preserve"> provided safe service delivery can be maintained and there is clear educational benefit to the trainee.</w:t>
                  </w:r>
                </w:p>
                <w:p w14:paraId="5AF1E977" w14:textId="77777777" w:rsidR="000B585B" w:rsidRPr="00BC3515" w:rsidRDefault="000B585B" w:rsidP="00BC3515">
                  <w:pPr>
                    <w:jc w:val="both"/>
                    <w:rPr>
                      <w:rFonts w:ascii="Arial" w:hAnsi="Arial" w:cs="Arial"/>
                      <w:u w:val="single"/>
                    </w:rPr>
                  </w:pPr>
                </w:p>
              </w:tc>
            </w:tr>
            <w:tr w:rsidR="00BC3515" w:rsidRPr="00BC3515" w14:paraId="39AAA90A" w14:textId="77777777" w:rsidTr="004818B4">
              <w:tc>
                <w:tcPr>
                  <w:tcW w:w="936" w:type="dxa"/>
                  <w:tcBorders>
                    <w:top w:val="nil"/>
                    <w:left w:val="nil"/>
                    <w:bottom w:val="nil"/>
                    <w:right w:val="nil"/>
                  </w:tcBorders>
                </w:tcPr>
                <w:p w14:paraId="5A6650BF" w14:textId="77777777" w:rsidR="00BC3515" w:rsidRPr="001C6C3C" w:rsidRDefault="001C6C3C" w:rsidP="000B585B">
                  <w:pPr>
                    <w:jc w:val="right"/>
                    <w:rPr>
                      <w:rFonts w:ascii="Arial" w:hAnsi="Arial" w:cs="Arial"/>
                      <w:b/>
                    </w:rPr>
                  </w:pPr>
                  <w:r>
                    <w:rPr>
                      <w:rFonts w:ascii="Arial" w:hAnsi="Arial" w:cs="Arial"/>
                      <w:b/>
                    </w:rPr>
                    <w:t>3.13</w:t>
                  </w:r>
                </w:p>
              </w:tc>
              <w:tc>
                <w:tcPr>
                  <w:tcW w:w="7569" w:type="dxa"/>
                  <w:tcBorders>
                    <w:top w:val="nil"/>
                    <w:left w:val="nil"/>
                    <w:bottom w:val="nil"/>
                    <w:right w:val="nil"/>
                  </w:tcBorders>
                </w:tcPr>
                <w:p w14:paraId="22348C3A" w14:textId="6E49160C" w:rsidR="00BC3515" w:rsidRDefault="00BC3515" w:rsidP="00BC3515">
                  <w:pPr>
                    <w:jc w:val="both"/>
                    <w:rPr>
                      <w:rFonts w:ascii="Arial" w:hAnsi="Arial" w:cs="Arial"/>
                    </w:rPr>
                  </w:pPr>
                  <w:r w:rsidRPr="00BC3515">
                    <w:rPr>
                      <w:rFonts w:ascii="Arial" w:hAnsi="Arial" w:cs="Arial"/>
                    </w:rPr>
                    <w:t xml:space="preserve">Study Leave is not an entitlement but an allowance, enabling </w:t>
                  </w:r>
                  <w:r w:rsidR="002F4316">
                    <w:rPr>
                      <w:rFonts w:ascii="Arial" w:hAnsi="Arial" w:cs="Arial"/>
                    </w:rPr>
                    <w:t>Postgraduate Doctor</w:t>
                  </w:r>
                  <w:r w:rsidR="00F217F5">
                    <w:rPr>
                      <w:rFonts w:ascii="Arial" w:hAnsi="Arial" w:cs="Arial"/>
                    </w:rPr>
                    <w:t xml:space="preserve">s </w:t>
                  </w:r>
                  <w:r w:rsidRPr="00BC3515">
                    <w:rPr>
                      <w:rFonts w:ascii="Arial" w:hAnsi="Arial" w:cs="Arial"/>
                    </w:rPr>
                    <w:t xml:space="preserve">to enhance the learning opportunities available to them. It is expected that </w:t>
                  </w:r>
                  <w:r w:rsidR="002F4316">
                    <w:rPr>
                      <w:rFonts w:ascii="Arial" w:hAnsi="Arial" w:cs="Arial"/>
                    </w:rPr>
                    <w:t xml:space="preserve">Postgraduate </w:t>
                  </w:r>
                  <w:r w:rsidR="00F217F5">
                    <w:rPr>
                      <w:rFonts w:ascii="Arial" w:hAnsi="Arial" w:cs="Arial"/>
                    </w:rPr>
                    <w:t xml:space="preserve">Doctors </w:t>
                  </w:r>
                  <w:r w:rsidR="00F217F5" w:rsidRPr="00BC3515">
                    <w:rPr>
                      <w:rFonts w:ascii="Arial" w:hAnsi="Arial" w:cs="Arial"/>
                    </w:rPr>
                    <w:t>will</w:t>
                  </w:r>
                  <w:r w:rsidRPr="00BC3515">
                    <w:rPr>
                      <w:rFonts w:ascii="Arial" w:hAnsi="Arial" w:cs="Arial"/>
                    </w:rPr>
                    <w:t xml:space="preserve"> meet their Clinical Supervisor and where possible their Educational Supervisor to plan Study Leave within the context of their </w:t>
                  </w:r>
                  <w:r w:rsidR="003635DB">
                    <w:rPr>
                      <w:rFonts w:ascii="Arial" w:hAnsi="Arial" w:cs="Arial"/>
                    </w:rPr>
                    <w:t xml:space="preserve">personalised professional development </w:t>
                  </w:r>
                  <w:r w:rsidRPr="00BC3515">
                    <w:rPr>
                      <w:rFonts w:ascii="Arial" w:hAnsi="Arial" w:cs="Arial"/>
                    </w:rPr>
                    <w:t>plan.</w:t>
                  </w:r>
                </w:p>
                <w:p w14:paraId="54F44291" w14:textId="77777777" w:rsidR="000B585B" w:rsidRPr="00BC3515" w:rsidRDefault="000B585B" w:rsidP="00BC3515">
                  <w:pPr>
                    <w:jc w:val="both"/>
                    <w:rPr>
                      <w:rFonts w:ascii="Arial" w:hAnsi="Arial" w:cs="Arial"/>
                      <w:u w:val="single"/>
                    </w:rPr>
                  </w:pPr>
                </w:p>
              </w:tc>
            </w:tr>
            <w:tr w:rsidR="00BC3515" w:rsidRPr="00BC3515" w14:paraId="70D3953C" w14:textId="77777777" w:rsidTr="004818B4">
              <w:tc>
                <w:tcPr>
                  <w:tcW w:w="936" w:type="dxa"/>
                  <w:tcBorders>
                    <w:top w:val="nil"/>
                    <w:left w:val="nil"/>
                    <w:bottom w:val="nil"/>
                    <w:right w:val="nil"/>
                  </w:tcBorders>
                </w:tcPr>
                <w:p w14:paraId="6323C1D7" w14:textId="77777777" w:rsidR="00BC3515" w:rsidRPr="001C6C3C" w:rsidRDefault="001C6C3C" w:rsidP="000B585B">
                  <w:pPr>
                    <w:jc w:val="right"/>
                    <w:rPr>
                      <w:rFonts w:ascii="Arial" w:hAnsi="Arial" w:cs="Arial"/>
                      <w:b/>
                    </w:rPr>
                  </w:pPr>
                  <w:r w:rsidRPr="001C6C3C">
                    <w:rPr>
                      <w:rFonts w:ascii="Arial" w:hAnsi="Arial" w:cs="Arial"/>
                      <w:b/>
                    </w:rPr>
                    <w:t>3.14</w:t>
                  </w:r>
                </w:p>
              </w:tc>
              <w:tc>
                <w:tcPr>
                  <w:tcW w:w="7569" w:type="dxa"/>
                  <w:tcBorders>
                    <w:top w:val="nil"/>
                    <w:left w:val="nil"/>
                    <w:bottom w:val="nil"/>
                    <w:right w:val="nil"/>
                  </w:tcBorders>
                </w:tcPr>
                <w:p w14:paraId="6DD053CF" w14:textId="2C08086A" w:rsidR="00BC3515" w:rsidRPr="000D1170" w:rsidRDefault="00BC3515" w:rsidP="00BC3515">
                  <w:pPr>
                    <w:jc w:val="both"/>
                    <w:rPr>
                      <w:rFonts w:ascii="Arial" w:hAnsi="Arial" w:cs="Arial"/>
                      <w:b/>
                      <w:bCs/>
                    </w:rPr>
                  </w:pPr>
                  <w:r w:rsidRPr="00BC3515">
                    <w:rPr>
                      <w:rFonts w:ascii="Arial" w:hAnsi="Arial" w:cs="Arial"/>
                    </w:rPr>
                    <w:t xml:space="preserve">TPDs should consider applications for educational activity which is relevant to the </w:t>
                  </w:r>
                  <w:proofErr w:type="gramStart"/>
                  <w:r w:rsidRPr="00BC3515">
                    <w:rPr>
                      <w:rFonts w:ascii="Arial" w:hAnsi="Arial" w:cs="Arial"/>
                    </w:rPr>
                    <w:t>curriculum</w:t>
                  </w:r>
                  <w:proofErr w:type="gramEnd"/>
                  <w:r w:rsidRPr="00BC3515">
                    <w:rPr>
                      <w:rFonts w:ascii="Arial" w:hAnsi="Arial" w:cs="Arial"/>
                    </w:rPr>
                    <w:t xml:space="preserve"> and which will contribute to the </w:t>
                  </w:r>
                  <w:r w:rsidR="002F4316">
                    <w:rPr>
                      <w:rFonts w:ascii="Arial" w:hAnsi="Arial" w:cs="Arial"/>
                    </w:rPr>
                    <w:t>Postgraduate Doctor</w:t>
                  </w:r>
                  <w:r w:rsidR="00854B30" w:rsidRPr="00BC3515">
                    <w:rPr>
                      <w:rFonts w:ascii="Arial" w:hAnsi="Arial" w:cs="Arial"/>
                    </w:rPr>
                    <w:t>’</w:t>
                  </w:r>
                  <w:r w:rsidR="003635DB">
                    <w:rPr>
                      <w:rFonts w:ascii="Arial" w:hAnsi="Arial" w:cs="Arial"/>
                    </w:rPr>
                    <w:t>s</w:t>
                  </w:r>
                  <w:r w:rsidRPr="00BC3515">
                    <w:rPr>
                      <w:rFonts w:ascii="Arial" w:hAnsi="Arial" w:cs="Arial"/>
                    </w:rPr>
                    <w:t xml:space="preserve"> individual learning plan. They will also need to assess each individual </w:t>
                  </w:r>
                  <w:r w:rsidRPr="00BC3515">
                    <w:rPr>
                      <w:rFonts w:ascii="Arial" w:hAnsi="Arial" w:cs="Arial"/>
                    </w:rPr>
                    <w:lastRenderedPageBreak/>
                    <w:t xml:space="preserve">application in relation to the needs of other </w:t>
                  </w:r>
                  <w:r w:rsidR="002F4316">
                    <w:rPr>
                      <w:rFonts w:ascii="Arial" w:hAnsi="Arial" w:cs="Arial"/>
                    </w:rPr>
                    <w:t xml:space="preserve">Postgraduate </w:t>
                  </w:r>
                  <w:r w:rsidR="00A86619">
                    <w:rPr>
                      <w:rFonts w:ascii="Arial" w:hAnsi="Arial" w:cs="Arial"/>
                    </w:rPr>
                    <w:t xml:space="preserve">Doctor </w:t>
                  </w:r>
                  <w:r w:rsidR="00A86619" w:rsidRPr="00BC3515">
                    <w:rPr>
                      <w:rFonts w:ascii="Arial" w:hAnsi="Arial" w:cs="Arial"/>
                    </w:rPr>
                    <w:t>on</w:t>
                  </w:r>
                  <w:r w:rsidRPr="00BC3515">
                    <w:rPr>
                      <w:rFonts w:ascii="Arial" w:hAnsi="Arial" w:cs="Arial"/>
                    </w:rPr>
                    <w:t xml:space="preserve"> the programme, ensuring equality with other </w:t>
                  </w:r>
                  <w:r w:rsidR="002F4316">
                    <w:rPr>
                      <w:rFonts w:ascii="Arial" w:hAnsi="Arial" w:cs="Arial"/>
                    </w:rPr>
                    <w:t>Postgraduate Doctor</w:t>
                  </w:r>
                  <w:r w:rsidRPr="00BC3515">
                    <w:rPr>
                      <w:rFonts w:ascii="Arial" w:hAnsi="Arial" w:cs="Arial"/>
                    </w:rPr>
                    <w:t>.</w:t>
                  </w:r>
                  <w:r w:rsidR="00872E4A">
                    <w:rPr>
                      <w:rFonts w:ascii="Arial" w:hAnsi="Arial" w:cs="Arial"/>
                    </w:rPr>
                    <w:t xml:space="preserve"> </w:t>
                  </w:r>
                  <w:r w:rsidR="00872E4A" w:rsidRPr="000D1170">
                    <w:rPr>
                      <w:rFonts w:ascii="Arial" w:hAnsi="Arial" w:cs="Arial"/>
                      <w:b/>
                      <w:bCs/>
                    </w:rPr>
                    <w:t>To enable TPDs to understand the value of the course to the Postgraduate Doctor</w:t>
                  </w:r>
                  <w:r w:rsidR="00C62B87" w:rsidRPr="000D1170">
                    <w:rPr>
                      <w:rFonts w:ascii="Arial" w:hAnsi="Arial" w:cs="Arial"/>
                      <w:b/>
                      <w:bCs/>
                    </w:rPr>
                    <w:t>’s</w:t>
                  </w:r>
                  <w:r w:rsidR="00872E4A" w:rsidRPr="000D1170">
                    <w:rPr>
                      <w:rFonts w:ascii="Arial" w:hAnsi="Arial" w:cs="Arial"/>
                      <w:b/>
                      <w:bCs/>
                    </w:rPr>
                    <w:t xml:space="preserve"> PDP</w:t>
                  </w:r>
                  <w:r w:rsidR="00C62B87" w:rsidRPr="000D1170">
                    <w:rPr>
                      <w:rFonts w:ascii="Arial" w:hAnsi="Arial" w:cs="Arial"/>
                      <w:b/>
                      <w:bCs/>
                    </w:rPr>
                    <w:t>,</w:t>
                  </w:r>
                  <w:r w:rsidR="00872E4A" w:rsidRPr="000D1170">
                    <w:rPr>
                      <w:rFonts w:ascii="Arial" w:hAnsi="Arial" w:cs="Arial"/>
                      <w:b/>
                      <w:bCs/>
                    </w:rPr>
                    <w:t xml:space="preserve"> a short document detailing how the educational activity meets the</w:t>
                  </w:r>
                  <w:r w:rsidR="00C62B87" w:rsidRPr="000D1170">
                    <w:rPr>
                      <w:rFonts w:ascii="Arial" w:hAnsi="Arial" w:cs="Arial"/>
                      <w:b/>
                      <w:bCs/>
                    </w:rPr>
                    <w:t>ir</w:t>
                  </w:r>
                  <w:r w:rsidR="00872E4A" w:rsidRPr="000D1170">
                    <w:rPr>
                      <w:rFonts w:ascii="Arial" w:hAnsi="Arial" w:cs="Arial"/>
                      <w:b/>
                      <w:bCs/>
                    </w:rPr>
                    <w:t xml:space="preserve"> learning needs will be required on application.</w:t>
                  </w:r>
                </w:p>
                <w:p w14:paraId="6C2C0BF5" w14:textId="77777777" w:rsidR="000B585B" w:rsidRPr="00BC3515" w:rsidRDefault="000B585B" w:rsidP="00A86619">
                  <w:pPr>
                    <w:jc w:val="both"/>
                    <w:rPr>
                      <w:rFonts w:ascii="Arial" w:hAnsi="Arial" w:cs="Arial"/>
                      <w:u w:val="single"/>
                    </w:rPr>
                  </w:pPr>
                </w:p>
              </w:tc>
            </w:tr>
            <w:tr w:rsidR="00BC3515" w:rsidRPr="00BC3515" w14:paraId="5D77A32E" w14:textId="77777777" w:rsidTr="004818B4">
              <w:tc>
                <w:tcPr>
                  <w:tcW w:w="936" w:type="dxa"/>
                  <w:tcBorders>
                    <w:top w:val="nil"/>
                    <w:left w:val="nil"/>
                    <w:bottom w:val="nil"/>
                    <w:right w:val="nil"/>
                  </w:tcBorders>
                </w:tcPr>
                <w:p w14:paraId="001119E9" w14:textId="77777777" w:rsidR="00BC3515" w:rsidRPr="001C6C3C" w:rsidRDefault="001C6C3C" w:rsidP="000B585B">
                  <w:pPr>
                    <w:jc w:val="right"/>
                    <w:rPr>
                      <w:rFonts w:ascii="Arial" w:hAnsi="Arial" w:cs="Arial"/>
                      <w:b/>
                    </w:rPr>
                  </w:pPr>
                  <w:r>
                    <w:rPr>
                      <w:rFonts w:ascii="Arial" w:hAnsi="Arial" w:cs="Arial"/>
                      <w:b/>
                    </w:rPr>
                    <w:lastRenderedPageBreak/>
                    <w:t>3.15</w:t>
                  </w:r>
                </w:p>
              </w:tc>
              <w:tc>
                <w:tcPr>
                  <w:tcW w:w="7569" w:type="dxa"/>
                  <w:tcBorders>
                    <w:top w:val="nil"/>
                    <w:left w:val="nil"/>
                    <w:bottom w:val="nil"/>
                    <w:right w:val="nil"/>
                  </w:tcBorders>
                </w:tcPr>
                <w:p w14:paraId="2B1B9D8B" w14:textId="05176939" w:rsidR="00BC3515" w:rsidRPr="00BC3515" w:rsidRDefault="00BC3515" w:rsidP="00BC3515">
                  <w:pPr>
                    <w:jc w:val="both"/>
                    <w:rPr>
                      <w:rFonts w:ascii="Arial" w:hAnsi="Arial" w:cs="Arial"/>
                      <w:u w:val="single"/>
                    </w:rPr>
                  </w:pPr>
                  <w:r w:rsidRPr="00BC3515">
                    <w:rPr>
                      <w:rFonts w:ascii="Arial" w:hAnsi="Arial" w:cs="Arial"/>
                    </w:rPr>
                    <w:t xml:space="preserve">Study Leave includes but </w:t>
                  </w:r>
                  <w:r w:rsidRPr="003635DB">
                    <w:rPr>
                      <w:rFonts w:ascii="Arial" w:hAnsi="Arial" w:cs="Arial"/>
                    </w:rPr>
                    <w:t>i</w:t>
                  </w:r>
                  <w:r w:rsidR="00997091" w:rsidRPr="003635DB">
                    <w:rPr>
                      <w:rFonts w:ascii="Arial" w:hAnsi="Arial" w:cs="Arial"/>
                    </w:rPr>
                    <w:t>s</w:t>
                  </w:r>
                  <w:r w:rsidRPr="00BC3515">
                    <w:rPr>
                      <w:rFonts w:ascii="Arial" w:hAnsi="Arial" w:cs="Arial"/>
                    </w:rPr>
                    <w:t xml:space="preserve"> not restricted to participation in</w:t>
                  </w:r>
                  <w:r w:rsidR="000B585B">
                    <w:rPr>
                      <w:rFonts w:ascii="Arial" w:hAnsi="Arial" w:cs="Arial"/>
                    </w:rPr>
                    <w:t>:</w:t>
                  </w:r>
                </w:p>
              </w:tc>
            </w:tr>
            <w:tr w:rsidR="00BC3515" w:rsidRPr="00BC3515" w14:paraId="438001D6" w14:textId="77777777" w:rsidTr="004818B4">
              <w:tc>
                <w:tcPr>
                  <w:tcW w:w="936" w:type="dxa"/>
                  <w:tcBorders>
                    <w:top w:val="nil"/>
                    <w:left w:val="nil"/>
                    <w:bottom w:val="nil"/>
                    <w:right w:val="nil"/>
                  </w:tcBorders>
                </w:tcPr>
                <w:p w14:paraId="51BC0057" w14:textId="77777777" w:rsidR="00BC3515" w:rsidRPr="00854B30" w:rsidRDefault="00BC3515" w:rsidP="00BC3515">
                  <w:pPr>
                    <w:pStyle w:val="ListParagraph"/>
                    <w:ind w:left="2160"/>
                    <w:jc w:val="both"/>
                    <w:rPr>
                      <w:rFonts w:ascii="Arial" w:hAnsi="Arial" w:cs="Arial"/>
                      <w:b/>
                    </w:rPr>
                  </w:pPr>
                </w:p>
              </w:tc>
              <w:tc>
                <w:tcPr>
                  <w:tcW w:w="7569" w:type="dxa"/>
                  <w:tcBorders>
                    <w:top w:val="nil"/>
                    <w:left w:val="nil"/>
                    <w:bottom w:val="nil"/>
                    <w:right w:val="nil"/>
                  </w:tcBorders>
                </w:tcPr>
                <w:p w14:paraId="3465E146" w14:textId="77777777" w:rsidR="00BC3515" w:rsidRPr="00BC3515" w:rsidRDefault="00BC3515" w:rsidP="00BC3515">
                  <w:pPr>
                    <w:pStyle w:val="ListParagraph"/>
                    <w:numPr>
                      <w:ilvl w:val="0"/>
                      <w:numId w:val="8"/>
                    </w:numPr>
                    <w:jc w:val="both"/>
                    <w:rPr>
                      <w:rFonts w:ascii="Arial" w:hAnsi="Arial" w:cs="Arial"/>
                      <w:u w:val="single"/>
                    </w:rPr>
                  </w:pPr>
                  <w:r w:rsidRPr="00BC3515">
                    <w:rPr>
                      <w:rFonts w:ascii="Arial" w:hAnsi="Arial" w:cs="Arial"/>
                    </w:rPr>
                    <w:t>The Regional &amp; Local Academic Programmes</w:t>
                  </w:r>
                </w:p>
              </w:tc>
            </w:tr>
            <w:tr w:rsidR="00BC3515" w:rsidRPr="00BC3515" w14:paraId="7D0D7710" w14:textId="77777777" w:rsidTr="004818B4">
              <w:tc>
                <w:tcPr>
                  <w:tcW w:w="936" w:type="dxa"/>
                  <w:tcBorders>
                    <w:top w:val="nil"/>
                    <w:left w:val="nil"/>
                    <w:bottom w:val="nil"/>
                    <w:right w:val="nil"/>
                  </w:tcBorders>
                </w:tcPr>
                <w:p w14:paraId="20D34C8E" w14:textId="77777777" w:rsidR="00BC3515" w:rsidRPr="00854B30" w:rsidRDefault="00BC3515" w:rsidP="00BC3515">
                  <w:pPr>
                    <w:ind w:left="1800"/>
                    <w:jc w:val="both"/>
                    <w:rPr>
                      <w:rFonts w:ascii="Arial" w:hAnsi="Arial" w:cs="Arial"/>
                      <w:b/>
                    </w:rPr>
                  </w:pPr>
                </w:p>
              </w:tc>
              <w:tc>
                <w:tcPr>
                  <w:tcW w:w="7569" w:type="dxa"/>
                  <w:tcBorders>
                    <w:top w:val="nil"/>
                    <w:left w:val="nil"/>
                    <w:bottom w:val="nil"/>
                    <w:right w:val="nil"/>
                  </w:tcBorders>
                </w:tcPr>
                <w:p w14:paraId="652CA6F2" w14:textId="77777777" w:rsidR="00BC3515" w:rsidRPr="00BC3515" w:rsidRDefault="00BC3515" w:rsidP="00BC3515">
                  <w:pPr>
                    <w:pStyle w:val="ListParagraph"/>
                    <w:numPr>
                      <w:ilvl w:val="0"/>
                      <w:numId w:val="8"/>
                    </w:numPr>
                    <w:jc w:val="both"/>
                    <w:rPr>
                      <w:rFonts w:ascii="Arial" w:hAnsi="Arial" w:cs="Arial"/>
                      <w:u w:val="single"/>
                    </w:rPr>
                  </w:pPr>
                  <w:r w:rsidRPr="00BC3515">
                    <w:rPr>
                      <w:rFonts w:ascii="Arial" w:hAnsi="Arial" w:cs="Arial"/>
                    </w:rPr>
                    <w:t>Teaching or examining</w:t>
                  </w:r>
                </w:p>
              </w:tc>
            </w:tr>
            <w:tr w:rsidR="00BC3515" w:rsidRPr="00BC3515" w14:paraId="11B84CDC" w14:textId="77777777" w:rsidTr="004818B4">
              <w:tc>
                <w:tcPr>
                  <w:tcW w:w="936" w:type="dxa"/>
                  <w:tcBorders>
                    <w:top w:val="nil"/>
                    <w:left w:val="nil"/>
                    <w:bottom w:val="nil"/>
                    <w:right w:val="nil"/>
                  </w:tcBorders>
                </w:tcPr>
                <w:p w14:paraId="089DA943" w14:textId="77777777" w:rsidR="00BC3515" w:rsidRPr="00BC3515" w:rsidRDefault="00BC3515" w:rsidP="00BC3515">
                  <w:pPr>
                    <w:pStyle w:val="ListParagraph"/>
                    <w:ind w:left="2160"/>
                    <w:jc w:val="both"/>
                    <w:rPr>
                      <w:rFonts w:ascii="Arial" w:hAnsi="Arial" w:cs="Arial"/>
                    </w:rPr>
                  </w:pPr>
                </w:p>
              </w:tc>
              <w:tc>
                <w:tcPr>
                  <w:tcW w:w="7569" w:type="dxa"/>
                  <w:tcBorders>
                    <w:top w:val="nil"/>
                    <w:left w:val="nil"/>
                    <w:bottom w:val="nil"/>
                    <w:right w:val="nil"/>
                  </w:tcBorders>
                </w:tcPr>
                <w:p w14:paraId="237319FA" w14:textId="77777777" w:rsidR="00BC3515" w:rsidRPr="00BC3515" w:rsidRDefault="00BC3515" w:rsidP="00BC3515">
                  <w:pPr>
                    <w:pStyle w:val="ListParagraph"/>
                    <w:numPr>
                      <w:ilvl w:val="0"/>
                      <w:numId w:val="8"/>
                    </w:numPr>
                    <w:jc w:val="both"/>
                    <w:rPr>
                      <w:rFonts w:ascii="Arial" w:hAnsi="Arial" w:cs="Arial"/>
                      <w:u w:val="single"/>
                    </w:rPr>
                  </w:pPr>
                  <w:r w:rsidRPr="00BC3515">
                    <w:rPr>
                      <w:rFonts w:ascii="Arial" w:hAnsi="Arial" w:cs="Arial"/>
                    </w:rPr>
                    <w:t>Presenting at professional conferences</w:t>
                  </w:r>
                </w:p>
              </w:tc>
            </w:tr>
            <w:tr w:rsidR="00BC3515" w:rsidRPr="00BC3515" w14:paraId="30D28CC9" w14:textId="77777777" w:rsidTr="004818B4">
              <w:tc>
                <w:tcPr>
                  <w:tcW w:w="936" w:type="dxa"/>
                  <w:tcBorders>
                    <w:top w:val="nil"/>
                    <w:left w:val="nil"/>
                    <w:bottom w:val="nil"/>
                    <w:right w:val="nil"/>
                  </w:tcBorders>
                </w:tcPr>
                <w:p w14:paraId="666960DF" w14:textId="77777777" w:rsidR="00BC3515" w:rsidRPr="00BC3515" w:rsidRDefault="00BC3515" w:rsidP="00BC3515">
                  <w:pPr>
                    <w:pStyle w:val="ListParagraph"/>
                    <w:ind w:left="2160"/>
                    <w:jc w:val="both"/>
                    <w:rPr>
                      <w:rFonts w:ascii="Arial" w:hAnsi="Arial" w:cs="Arial"/>
                    </w:rPr>
                  </w:pPr>
                </w:p>
              </w:tc>
              <w:tc>
                <w:tcPr>
                  <w:tcW w:w="7569" w:type="dxa"/>
                  <w:tcBorders>
                    <w:top w:val="nil"/>
                    <w:left w:val="nil"/>
                    <w:bottom w:val="nil"/>
                    <w:right w:val="nil"/>
                  </w:tcBorders>
                </w:tcPr>
                <w:p w14:paraId="73B639C1" w14:textId="77777777" w:rsidR="00BC3515" w:rsidRPr="00BC3515" w:rsidRDefault="00BC3515" w:rsidP="00BC3515">
                  <w:pPr>
                    <w:pStyle w:val="ListParagraph"/>
                    <w:numPr>
                      <w:ilvl w:val="0"/>
                      <w:numId w:val="8"/>
                    </w:numPr>
                    <w:jc w:val="both"/>
                    <w:rPr>
                      <w:rFonts w:ascii="Arial" w:hAnsi="Arial" w:cs="Arial"/>
                      <w:u w:val="single"/>
                    </w:rPr>
                  </w:pPr>
                  <w:r w:rsidRPr="00BC3515">
                    <w:rPr>
                      <w:rFonts w:ascii="Arial" w:hAnsi="Arial" w:cs="Arial"/>
                    </w:rPr>
                    <w:t>Attending specialist clinics</w:t>
                  </w:r>
                </w:p>
              </w:tc>
            </w:tr>
            <w:tr w:rsidR="00BC3515" w:rsidRPr="00BC3515" w14:paraId="00AD3C85" w14:textId="77777777" w:rsidTr="004818B4">
              <w:tc>
                <w:tcPr>
                  <w:tcW w:w="936" w:type="dxa"/>
                  <w:tcBorders>
                    <w:top w:val="nil"/>
                    <w:left w:val="nil"/>
                    <w:bottom w:val="nil"/>
                    <w:right w:val="nil"/>
                  </w:tcBorders>
                </w:tcPr>
                <w:p w14:paraId="186FD59C" w14:textId="77777777" w:rsidR="00BC3515" w:rsidRPr="00BC3515" w:rsidRDefault="00BC3515" w:rsidP="00BC3515">
                  <w:pPr>
                    <w:pStyle w:val="ListParagraph"/>
                    <w:ind w:left="2160"/>
                    <w:jc w:val="both"/>
                    <w:rPr>
                      <w:rFonts w:ascii="Arial" w:hAnsi="Arial" w:cs="Arial"/>
                    </w:rPr>
                  </w:pPr>
                </w:p>
              </w:tc>
              <w:tc>
                <w:tcPr>
                  <w:tcW w:w="7569" w:type="dxa"/>
                  <w:tcBorders>
                    <w:top w:val="nil"/>
                    <w:left w:val="nil"/>
                    <w:bottom w:val="nil"/>
                    <w:right w:val="nil"/>
                  </w:tcBorders>
                </w:tcPr>
                <w:p w14:paraId="15628C4E" w14:textId="77777777" w:rsidR="00BC3515" w:rsidRPr="00BC3515" w:rsidRDefault="00BC3515" w:rsidP="00BC3515">
                  <w:pPr>
                    <w:pStyle w:val="ListParagraph"/>
                    <w:numPr>
                      <w:ilvl w:val="0"/>
                      <w:numId w:val="8"/>
                    </w:numPr>
                    <w:jc w:val="both"/>
                    <w:rPr>
                      <w:rFonts w:ascii="Arial" w:hAnsi="Arial" w:cs="Arial"/>
                      <w:u w:val="single"/>
                    </w:rPr>
                  </w:pPr>
                  <w:r w:rsidRPr="00BC3515">
                    <w:rPr>
                      <w:rFonts w:ascii="Arial" w:hAnsi="Arial" w:cs="Arial"/>
                    </w:rPr>
                    <w:t>Sitting examinations</w:t>
                  </w:r>
                </w:p>
              </w:tc>
            </w:tr>
            <w:tr w:rsidR="00BC3515" w:rsidRPr="00BC3515" w14:paraId="22864F76" w14:textId="77777777" w:rsidTr="004818B4">
              <w:tc>
                <w:tcPr>
                  <w:tcW w:w="936" w:type="dxa"/>
                  <w:tcBorders>
                    <w:top w:val="nil"/>
                    <w:left w:val="nil"/>
                    <w:bottom w:val="nil"/>
                    <w:right w:val="nil"/>
                  </w:tcBorders>
                </w:tcPr>
                <w:p w14:paraId="10F765EE" w14:textId="77777777" w:rsidR="00BC3515" w:rsidRPr="00BC3515" w:rsidRDefault="00BC3515" w:rsidP="00BC3515">
                  <w:pPr>
                    <w:pStyle w:val="ListParagraph"/>
                    <w:ind w:left="2160"/>
                    <w:jc w:val="both"/>
                    <w:rPr>
                      <w:rFonts w:ascii="Arial" w:hAnsi="Arial" w:cs="Arial"/>
                    </w:rPr>
                  </w:pPr>
                </w:p>
              </w:tc>
              <w:tc>
                <w:tcPr>
                  <w:tcW w:w="7569" w:type="dxa"/>
                  <w:tcBorders>
                    <w:top w:val="nil"/>
                    <w:left w:val="nil"/>
                    <w:bottom w:val="nil"/>
                    <w:right w:val="nil"/>
                  </w:tcBorders>
                </w:tcPr>
                <w:p w14:paraId="7E0E03FF" w14:textId="77777777" w:rsidR="00E81F8E" w:rsidRPr="00E81F8E" w:rsidRDefault="00BC3515" w:rsidP="00E81F8E">
                  <w:pPr>
                    <w:pStyle w:val="ListParagraph"/>
                    <w:numPr>
                      <w:ilvl w:val="0"/>
                      <w:numId w:val="8"/>
                    </w:numPr>
                    <w:jc w:val="both"/>
                    <w:rPr>
                      <w:rFonts w:ascii="Arial" w:hAnsi="Arial" w:cs="Arial"/>
                      <w:u w:val="single"/>
                    </w:rPr>
                  </w:pPr>
                  <w:r w:rsidRPr="00BC3515">
                    <w:rPr>
                      <w:rFonts w:ascii="Arial" w:hAnsi="Arial" w:cs="Arial"/>
                    </w:rPr>
                    <w:t>Private Study (not research)</w:t>
                  </w:r>
                </w:p>
                <w:p w14:paraId="7ABC3D3D" w14:textId="77777777" w:rsidR="00E81F8E" w:rsidRPr="000B585B" w:rsidRDefault="00E81F8E" w:rsidP="000B585B">
                  <w:pPr>
                    <w:jc w:val="both"/>
                    <w:rPr>
                      <w:rFonts w:ascii="Arial" w:hAnsi="Arial" w:cs="Arial"/>
                      <w:u w:val="single"/>
                    </w:rPr>
                  </w:pPr>
                </w:p>
              </w:tc>
            </w:tr>
            <w:tr w:rsidR="00BC3515" w:rsidRPr="00BC3515" w14:paraId="281DC129" w14:textId="77777777" w:rsidTr="004818B4">
              <w:tc>
                <w:tcPr>
                  <w:tcW w:w="936" w:type="dxa"/>
                  <w:tcBorders>
                    <w:top w:val="nil"/>
                    <w:left w:val="nil"/>
                    <w:bottom w:val="nil"/>
                    <w:right w:val="nil"/>
                  </w:tcBorders>
                </w:tcPr>
                <w:p w14:paraId="15A336EA" w14:textId="77777777" w:rsidR="00BC3515" w:rsidRPr="000D1170" w:rsidRDefault="00E81F8E" w:rsidP="000B585B">
                  <w:pPr>
                    <w:pStyle w:val="ListParagraph"/>
                    <w:ind w:left="0"/>
                    <w:jc w:val="right"/>
                    <w:rPr>
                      <w:rFonts w:ascii="Arial" w:hAnsi="Arial" w:cs="Arial"/>
                      <w:b/>
                    </w:rPr>
                  </w:pPr>
                  <w:r w:rsidRPr="000D1170">
                    <w:rPr>
                      <w:rFonts w:ascii="Arial" w:hAnsi="Arial" w:cs="Arial"/>
                      <w:b/>
                    </w:rPr>
                    <w:t>3.16</w:t>
                  </w:r>
                </w:p>
              </w:tc>
              <w:tc>
                <w:tcPr>
                  <w:tcW w:w="7569" w:type="dxa"/>
                  <w:tcBorders>
                    <w:top w:val="nil"/>
                    <w:left w:val="nil"/>
                    <w:bottom w:val="nil"/>
                    <w:right w:val="nil"/>
                  </w:tcBorders>
                </w:tcPr>
                <w:p w14:paraId="1CEB68D1" w14:textId="56612048" w:rsidR="002E5CF6" w:rsidRPr="000D1170" w:rsidRDefault="002E5CF6" w:rsidP="002E5CF6">
                  <w:pPr>
                    <w:jc w:val="both"/>
                    <w:rPr>
                      <w:rFonts w:ascii="Arial" w:hAnsi="Arial" w:cs="Arial"/>
                    </w:rPr>
                  </w:pPr>
                  <w:r w:rsidRPr="000D1170">
                    <w:rPr>
                      <w:rFonts w:ascii="Arial" w:hAnsi="Arial" w:cs="Arial"/>
                    </w:rPr>
                    <w:t xml:space="preserve">Study Leave for exam preparation purposes can now be considered as they may reduce the number of extensions of training </w:t>
                  </w:r>
                  <w:proofErr w:type="gramStart"/>
                  <w:r w:rsidRPr="000D1170">
                    <w:rPr>
                      <w:rFonts w:ascii="Arial" w:hAnsi="Arial" w:cs="Arial"/>
                    </w:rPr>
                    <w:t>as a result of</w:t>
                  </w:r>
                  <w:proofErr w:type="gramEnd"/>
                  <w:r w:rsidRPr="000D1170">
                    <w:rPr>
                      <w:rFonts w:ascii="Arial" w:hAnsi="Arial" w:cs="Arial"/>
                    </w:rPr>
                    <w:t xml:space="preserve"> exam failure. For a 12-month pilot period from </w:t>
                  </w:r>
                  <w:r w:rsidR="007854EF">
                    <w:rPr>
                      <w:rFonts w:ascii="Arial" w:hAnsi="Arial" w:cs="Arial"/>
                    </w:rPr>
                    <w:t>April</w:t>
                  </w:r>
                  <w:r w:rsidR="00670FD0">
                    <w:rPr>
                      <w:rFonts w:ascii="Arial" w:hAnsi="Arial" w:cs="Arial"/>
                    </w:rPr>
                    <w:t xml:space="preserve"> 2024</w:t>
                  </w:r>
                  <w:r w:rsidRPr="000D1170">
                    <w:rPr>
                      <w:rFonts w:ascii="Arial" w:hAnsi="Arial" w:cs="Arial"/>
                    </w:rPr>
                    <w:t xml:space="preserve">, Postgraduate Doctors can apply for funding for one exam preparation course per exam over the course of training, including question bank subscription or CASC preparation (i.e. one course for paper A, one course for paper B, one course for CASC).   Funding can only be provided up to the nominal study leave amount each year, as these courses are not required for curriculum.  </w:t>
                  </w:r>
                </w:p>
                <w:p w14:paraId="317E68B4" w14:textId="620BC452" w:rsidR="00E81F8E" w:rsidRPr="000D1170" w:rsidRDefault="00E81F8E" w:rsidP="00E05045">
                  <w:pPr>
                    <w:pStyle w:val="ListParagraph"/>
                    <w:ind w:left="0"/>
                    <w:jc w:val="both"/>
                    <w:rPr>
                      <w:rFonts w:ascii="Arial" w:hAnsi="Arial" w:cs="Arial"/>
                    </w:rPr>
                  </w:pPr>
                </w:p>
                <w:p w14:paraId="598395FC" w14:textId="77777777" w:rsidR="00E81F8E" w:rsidRPr="000D1170" w:rsidRDefault="00E81F8E" w:rsidP="00E05045">
                  <w:pPr>
                    <w:pStyle w:val="ListParagraph"/>
                    <w:ind w:left="0"/>
                    <w:jc w:val="both"/>
                    <w:rPr>
                      <w:rFonts w:ascii="Arial" w:hAnsi="Arial" w:cs="Arial"/>
                    </w:rPr>
                  </w:pPr>
                </w:p>
              </w:tc>
            </w:tr>
            <w:tr w:rsidR="00BC3515" w:rsidRPr="00BC3515" w14:paraId="1355B32E" w14:textId="77777777" w:rsidTr="004818B4">
              <w:tc>
                <w:tcPr>
                  <w:tcW w:w="936" w:type="dxa"/>
                  <w:tcBorders>
                    <w:top w:val="nil"/>
                    <w:left w:val="nil"/>
                    <w:bottom w:val="nil"/>
                    <w:right w:val="nil"/>
                  </w:tcBorders>
                </w:tcPr>
                <w:p w14:paraId="617FB7FE" w14:textId="77777777" w:rsidR="00BC3515" w:rsidRDefault="00E81F8E" w:rsidP="000B585B">
                  <w:pPr>
                    <w:pStyle w:val="ListParagraph"/>
                    <w:ind w:left="0"/>
                    <w:jc w:val="right"/>
                    <w:rPr>
                      <w:rFonts w:ascii="Arial" w:hAnsi="Arial" w:cs="Arial"/>
                      <w:b/>
                    </w:rPr>
                  </w:pPr>
                  <w:r w:rsidRPr="00BC7A71">
                    <w:rPr>
                      <w:rFonts w:ascii="Arial" w:hAnsi="Arial" w:cs="Arial"/>
                      <w:b/>
                    </w:rPr>
                    <w:t>3.17</w:t>
                  </w:r>
                </w:p>
                <w:p w14:paraId="70AD01A8" w14:textId="77777777" w:rsidR="007854EF" w:rsidRDefault="007854EF" w:rsidP="000B585B">
                  <w:pPr>
                    <w:pStyle w:val="ListParagraph"/>
                    <w:ind w:left="0"/>
                    <w:jc w:val="right"/>
                    <w:rPr>
                      <w:rFonts w:ascii="Arial" w:hAnsi="Arial" w:cs="Arial"/>
                      <w:b/>
                    </w:rPr>
                  </w:pPr>
                </w:p>
                <w:p w14:paraId="0E892759" w14:textId="77777777" w:rsidR="007854EF" w:rsidRDefault="007854EF" w:rsidP="000B585B">
                  <w:pPr>
                    <w:pStyle w:val="ListParagraph"/>
                    <w:ind w:left="0"/>
                    <w:jc w:val="right"/>
                    <w:rPr>
                      <w:rFonts w:ascii="Arial" w:hAnsi="Arial" w:cs="Arial"/>
                      <w:b/>
                    </w:rPr>
                  </w:pPr>
                </w:p>
                <w:p w14:paraId="561372F4" w14:textId="77777777" w:rsidR="007854EF" w:rsidRDefault="007854EF" w:rsidP="000B585B">
                  <w:pPr>
                    <w:pStyle w:val="ListParagraph"/>
                    <w:ind w:left="0"/>
                    <w:jc w:val="right"/>
                    <w:rPr>
                      <w:rFonts w:ascii="Arial" w:hAnsi="Arial" w:cs="Arial"/>
                      <w:b/>
                    </w:rPr>
                  </w:pPr>
                  <w:r>
                    <w:rPr>
                      <w:rFonts w:ascii="Arial" w:hAnsi="Arial" w:cs="Arial"/>
                      <w:b/>
                    </w:rPr>
                    <w:t>3.18</w:t>
                  </w:r>
                </w:p>
                <w:p w14:paraId="4F547A4B" w14:textId="77777777" w:rsidR="007854EF" w:rsidRDefault="007854EF" w:rsidP="000B585B">
                  <w:pPr>
                    <w:pStyle w:val="ListParagraph"/>
                    <w:ind w:left="0"/>
                    <w:jc w:val="right"/>
                    <w:rPr>
                      <w:rFonts w:ascii="Arial" w:hAnsi="Arial" w:cs="Arial"/>
                      <w:b/>
                    </w:rPr>
                  </w:pPr>
                </w:p>
                <w:p w14:paraId="366362DA" w14:textId="77777777" w:rsidR="007854EF" w:rsidRDefault="007854EF" w:rsidP="000B585B">
                  <w:pPr>
                    <w:pStyle w:val="ListParagraph"/>
                    <w:ind w:left="0"/>
                    <w:jc w:val="right"/>
                    <w:rPr>
                      <w:rFonts w:ascii="Arial" w:hAnsi="Arial" w:cs="Arial"/>
                      <w:b/>
                    </w:rPr>
                  </w:pPr>
                </w:p>
                <w:p w14:paraId="6B338AE8" w14:textId="77777777" w:rsidR="007854EF" w:rsidRDefault="007854EF" w:rsidP="000B585B">
                  <w:pPr>
                    <w:pStyle w:val="ListParagraph"/>
                    <w:ind w:left="0"/>
                    <w:jc w:val="right"/>
                    <w:rPr>
                      <w:rFonts w:ascii="Arial" w:hAnsi="Arial" w:cs="Arial"/>
                      <w:b/>
                    </w:rPr>
                  </w:pPr>
                </w:p>
                <w:p w14:paraId="4135B16E" w14:textId="77777777" w:rsidR="007854EF" w:rsidRDefault="007854EF" w:rsidP="000B585B">
                  <w:pPr>
                    <w:pStyle w:val="ListParagraph"/>
                    <w:ind w:left="0"/>
                    <w:jc w:val="right"/>
                    <w:rPr>
                      <w:rFonts w:ascii="Arial" w:hAnsi="Arial" w:cs="Arial"/>
                      <w:b/>
                    </w:rPr>
                  </w:pPr>
                </w:p>
                <w:p w14:paraId="37712B2F" w14:textId="77777777" w:rsidR="007854EF" w:rsidRDefault="007854EF" w:rsidP="000B585B">
                  <w:pPr>
                    <w:pStyle w:val="ListParagraph"/>
                    <w:ind w:left="0"/>
                    <w:jc w:val="right"/>
                    <w:rPr>
                      <w:rFonts w:ascii="Arial" w:hAnsi="Arial" w:cs="Arial"/>
                      <w:b/>
                    </w:rPr>
                  </w:pPr>
                </w:p>
                <w:p w14:paraId="105408BE" w14:textId="77777777" w:rsidR="007854EF" w:rsidRDefault="007854EF" w:rsidP="000B585B">
                  <w:pPr>
                    <w:pStyle w:val="ListParagraph"/>
                    <w:ind w:left="0"/>
                    <w:jc w:val="right"/>
                    <w:rPr>
                      <w:rFonts w:ascii="Arial" w:hAnsi="Arial" w:cs="Arial"/>
                      <w:b/>
                    </w:rPr>
                  </w:pPr>
                </w:p>
                <w:p w14:paraId="1A20AEF7" w14:textId="77777777" w:rsidR="007854EF" w:rsidRDefault="007854EF" w:rsidP="000B585B">
                  <w:pPr>
                    <w:pStyle w:val="ListParagraph"/>
                    <w:ind w:left="0"/>
                    <w:jc w:val="right"/>
                    <w:rPr>
                      <w:rFonts w:ascii="Arial" w:hAnsi="Arial" w:cs="Arial"/>
                      <w:b/>
                    </w:rPr>
                  </w:pPr>
                  <w:r>
                    <w:rPr>
                      <w:rFonts w:ascii="Arial" w:hAnsi="Arial" w:cs="Arial"/>
                      <w:b/>
                    </w:rPr>
                    <w:t>3.19</w:t>
                  </w:r>
                </w:p>
                <w:p w14:paraId="53E5967E" w14:textId="77777777" w:rsidR="007854EF" w:rsidRDefault="007854EF" w:rsidP="000B585B">
                  <w:pPr>
                    <w:pStyle w:val="ListParagraph"/>
                    <w:ind w:left="0"/>
                    <w:jc w:val="right"/>
                    <w:rPr>
                      <w:rFonts w:ascii="Arial" w:hAnsi="Arial" w:cs="Arial"/>
                      <w:b/>
                    </w:rPr>
                  </w:pPr>
                </w:p>
                <w:p w14:paraId="772B6E26" w14:textId="77777777" w:rsidR="007854EF" w:rsidRDefault="007854EF" w:rsidP="000B585B">
                  <w:pPr>
                    <w:pStyle w:val="ListParagraph"/>
                    <w:ind w:left="0"/>
                    <w:jc w:val="right"/>
                    <w:rPr>
                      <w:rFonts w:ascii="Arial" w:hAnsi="Arial" w:cs="Arial"/>
                      <w:b/>
                    </w:rPr>
                  </w:pPr>
                </w:p>
                <w:p w14:paraId="694B7537" w14:textId="77777777" w:rsidR="007854EF" w:rsidRDefault="007854EF" w:rsidP="000B585B">
                  <w:pPr>
                    <w:pStyle w:val="ListParagraph"/>
                    <w:ind w:left="0"/>
                    <w:jc w:val="right"/>
                    <w:rPr>
                      <w:rFonts w:ascii="Arial" w:hAnsi="Arial" w:cs="Arial"/>
                      <w:b/>
                    </w:rPr>
                  </w:pPr>
                </w:p>
                <w:p w14:paraId="4243C66A" w14:textId="77777777" w:rsidR="007854EF" w:rsidRDefault="007854EF" w:rsidP="000B585B">
                  <w:pPr>
                    <w:pStyle w:val="ListParagraph"/>
                    <w:ind w:left="0"/>
                    <w:jc w:val="right"/>
                    <w:rPr>
                      <w:rFonts w:ascii="Arial" w:hAnsi="Arial" w:cs="Arial"/>
                      <w:b/>
                    </w:rPr>
                  </w:pPr>
                </w:p>
                <w:p w14:paraId="037502E5" w14:textId="77777777" w:rsidR="007854EF" w:rsidRDefault="007854EF" w:rsidP="000B585B">
                  <w:pPr>
                    <w:pStyle w:val="ListParagraph"/>
                    <w:ind w:left="0"/>
                    <w:jc w:val="right"/>
                    <w:rPr>
                      <w:rFonts w:ascii="Arial" w:hAnsi="Arial" w:cs="Arial"/>
                      <w:b/>
                    </w:rPr>
                  </w:pPr>
                </w:p>
                <w:p w14:paraId="0DA1527E" w14:textId="77777777" w:rsidR="007854EF" w:rsidRDefault="007854EF" w:rsidP="000B585B">
                  <w:pPr>
                    <w:pStyle w:val="ListParagraph"/>
                    <w:ind w:left="0"/>
                    <w:jc w:val="right"/>
                    <w:rPr>
                      <w:rFonts w:ascii="Arial" w:hAnsi="Arial" w:cs="Arial"/>
                      <w:b/>
                    </w:rPr>
                  </w:pPr>
                </w:p>
                <w:p w14:paraId="188808DB" w14:textId="30F8CFFB" w:rsidR="007854EF" w:rsidRPr="00BC7A71" w:rsidRDefault="007854EF" w:rsidP="000B585B">
                  <w:pPr>
                    <w:pStyle w:val="ListParagraph"/>
                    <w:ind w:left="0"/>
                    <w:jc w:val="right"/>
                    <w:rPr>
                      <w:rFonts w:ascii="Arial" w:hAnsi="Arial" w:cs="Arial"/>
                      <w:b/>
                    </w:rPr>
                  </w:pPr>
                  <w:r>
                    <w:rPr>
                      <w:rFonts w:ascii="Arial" w:hAnsi="Arial" w:cs="Arial"/>
                      <w:b/>
                    </w:rPr>
                    <w:t>3.20</w:t>
                  </w:r>
                </w:p>
              </w:tc>
              <w:tc>
                <w:tcPr>
                  <w:tcW w:w="7569" w:type="dxa"/>
                  <w:tcBorders>
                    <w:top w:val="nil"/>
                    <w:left w:val="nil"/>
                    <w:bottom w:val="nil"/>
                    <w:right w:val="nil"/>
                  </w:tcBorders>
                </w:tcPr>
                <w:p w14:paraId="1F7D7BE4" w14:textId="2C06964C" w:rsidR="007854EF" w:rsidRDefault="00E81F8E" w:rsidP="004C4C97">
                  <w:pPr>
                    <w:pStyle w:val="ListParagraph"/>
                    <w:ind w:left="0"/>
                    <w:jc w:val="both"/>
                    <w:rPr>
                      <w:rFonts w:ascii="Arial" w:hAnsi="Arial" w:cs="Arial"/>
                    </w:rPr>
                  </w:pPr>
                  <w:r w:rsidRPr="00127A3C">
                    <w:rPr>
                      <w:rFonts w:ascii="Arial" w:hAnsi="Arial" w:cs="Arial"/>
                    </w:rPr>
                    <w:t>Study leave will only be available for those in OOPT where there is clear evidence linking the application to a specific curriculum requirement.</w:t>
                  </w:r>
                </w:p>
                <w:p w14:paraId="4E6E3A1C" w14:textId="77777777" w:rsidR="007854EF" w:rsidRDefault="007854EF" w:rsidP="004C4C97">
                  <w:pPr>
                    <w:pStyle w:val="ListParagraph"/>
                    <w:ind w:left="0"/>
                    <w:jc w:val="both"/>
                    <w:rPr>
                      <w:rFonts w:ascii="Arial" w:hAnsi="Arial" w:cs="Arial"/>
                    </w:rPr>
                  </w:pPr>
                </w:p>
                <w:p w14:paraId="0BD7E7C9" w14:textId="77777777" w:rsidR="007854EF" w:rsidRDefault="007854EF" w:rsidP="004C4C97">
                  <w:pPr>
                    <w:pStyle w:val="ListParagraph"/>
                    <w:ind w:left="0"/>
                    <w:jc w:val="both"/>
                    <w:rPr>
                      <w:rFonts w:ascii="Arial" w:hAnsi="Arial" w:cs="Arial"/>
                    </w:rPr>
                  </w:pPr>
                  <w:r w:rsidRPr="007854EF">
                    <w:rPr>
                      <w:rFonts w:ascii="Arial" w:hAnsi="Arial" w:cs="Arial"/>
                    </w:rPr>
                    <w:t xml:space="preserve">Trainees who are absent from work for the following reasons are not generally eligible for study leave: </w:t>
                  </w:r>
                </w:p>
                <w:p w14:paraId="5FAA45A7" w14:textId="77777777" w:rsidR="007854EF" w:rsidRDefault="007854EF" w:rsidP="004C4C97">
                  <w:pPr>
                    <w:pStyle w:val="ListParagraph"/>
                    <w:ind w:left="0"/>
                    <w:jc w:val="both"/>
                    <w:rPr>
                      <w:rFonts w:ascii="Arial" w:hAnsi="Arial" w:cs="Arial"/>
                    </w:rPr>
                  </w:pPr>
                  <w:r w:rsidRPr="007854EF">
                    <w:rPr>
                      <w:rFonts w:ascii="Arial" w:hAnsi="Arial" w:cs="Arial"/>
                    </w:rPr>
                    <w:t xml:space="preserve">• maternity/paternity leave </w:t>
                  </w:r>
                </w:p>
                <w:p w14:paraId="65C9429E" w14:textId="77777777" w:rsidR="007854EF" w:rsidRDefault="007854EF" w:rsidP="004C4C97">
                  <w:pPr>
                    <w:pStyle w:val="ListParagraph"/>
                    <w:ind w:left="0"/>
                    <w:jc w:val="both"/>
                    <w:rPr>
                      <w:rFonts w:ascii="Arial" w:hAnsi="Arial" w:cs="Arial"/>
                    </w:rPr>
                  </w:pPr>
                  <w:r w:rsidRPr="007854EF">
                    <w:rPr>
                      <w:rFonts w:ascii="Arial" w:hAnsi="Arial" w:cs="Arial"/>
                    </w:rPr>
                    <w:t xml:space="preserve">• sick leave • adoption leave </w:t>
                  </w:r>
                </w:p>
                <w:p w14:paraId="25E3E7A4" w14:textId="77777777" w:rsidR="007854EF" w:rsidRDefault="007854EF" w:rsidP="004C4C97">
                  <w:pPr>
                    <w:pStyle w:val="ListParagraph"/>
                    <w:ind w:left="0"/>
                    <w:jc w:val="both"/>
                    <w:rPr>
                      <w:rFonts w:ascii="Arial" w:hAnsi="Arial" w:cs="Arial"/>
                    </w:rPr>
                  </w:pPr>
                  <w:r w:rsidRPr="007854EF">
                    <w:rPr>
                      <w:rFonts w:ascii="Arial" w:hAnsi="Arial" w:cs="Arial"/>
                    </w:rPr>
                    <w:t xml:space="preserve">• compassionate paid/unpaid leave </w:t>
                  </w:r>
                </w:p>
                <w:p w14:paraId="035F9C92" w14:textId="77777777" w:rsidR="007854EF" w:rsidRDefault="007854EF" w:rsidP="004C4C97">
                  <w:pPr>
                    <w:pStyle w:val="ListParagraph"/>
                    <w:ind w:left="0"/>
                    <w:jc w:val="both"/>
                    <w:rPr>
                      <w:rFonts w:ascii="Arial" w:hAnsi="Arial" w:cs="Arial"/>
                    </w:rPr>
                  </w:pPr>
                  <w:r w:rsidRPr="007854EF">
                    <w:rPr>
                      <w:rFonts w:ascii="Arial" w:hAnsi="Arial" w:cs="Arial"/>
                    </w:rPr>
                    <w:t xml:space="preserve">• any other paid or unpaid leave i.e. jury service. </w:t>
                  </w:r>
                </w:p>
                <w:p w14:paraId="10A413A2" w14:textId="77777777" w:rsidR="007854EF" w:rsidRDefault="007854EF" w:rsidP="004C4C97">
                  <w:pPr>
                    <w:pStyle w:val="ListParagraph"/>
                    <w:ind w:left="0"/>
                    <w:jc w:val="both"/>
                    <w:rPr>
                      <w:rFonts w:ascii="Arial" w:hAnsi="Arial" w:cs="Arial"/>
                    </w:rPr>
                  </w:pPr>
                </w:p>
                <w:p w14:paraId="499D7B49" w14:textId="06062DF0" w:rsidR="007854EF" w:rsidRDefault="007854EF" w:rsidP="004C4C97">
                  <w:pPr>
                    <w:pStyle w:val="ListParagraph"/>
                    <w:ind w:left="0"/>
                    <w:jc w:val="both"/>
                    <w:rPr>
                      <w:rFonts w:ascii="Arial" w:hAnsi="Arial" w:cs="Arial"/>
                    </w:rPr>
                  </w:pPr>
                  <w:r>
                    <w:rPr>
                      <w:rFonts w:ascii="Arial" w:hAnsi="Arial" w:cs="Arial"/>
                    </w:rPr>
                    <w:t>I</w:t>
                  </w:r>
                  <w:r w:rsidRPr="007854EF">
                    <w:rPr>
                      <w:rFonts w:ascii="Arial" w:hAnsi="Arial" w:cs="Arial"/>
                    </w:rPr>
                    <w:t xml:space="preserve">n exceptional circumstances, study leave may still be possible for some trainees in the above categories. Trainees should seek clarification of the contractual and medical indemnity issues with the relevant Lead Employer and the provider of the course/conference/educational programme which they have applied to attend. This should then be shared with the TPD to inform the </w:t>
                  </w:r>
                  <w:proofErr w:type="gramStart"/>
                  <w:r w:rsidRPr="007854EF">
                    <w:rPr>
                      <w:rFonts w:ascii="Arial" w:hAnsi="Arial" w:cs="Arial"/>
                    </w:rPr>
                    <w:t>decision making</w:t>
                  </w:r>
                  <w:proofErr w:type="gramEnd"/>
                  <w:r w:rsidRPr="007854EF">
                    <w:rPr>
                      <w:rFonts w:ascii="Arial" w:hAnsi="Arial" w:cs="Arial"/>
                    </w:rPr>
                    <w:t xml:space="preserve"> process. </w:t>
                  </w:r>
                </w:p>
                <w:p w14:paraId="50047208" w14:textId="77777777" w:rsidR="007854EF" w:rsidRDefault="007854EF" w:rsidP="004C4C97">
                  <w:pPr>
                    <w:pStyle w:val="ListParagraph"/>
                    <w:ind w:left="0"/>
                    <w:jc w:val="both"/>
                    <w:rPr>
                      <w:rFonts w:ascii="Arial" w:hAnsi="Arial" w:cs="Arial"/>
                    </w:rPr>
                  </w:pPr>
                </w:p>
                <w:p w14:paraId="651FE309" w14:textId="1ED8F395" w:rsidR="007854EF" w:rsidRPr="00127A3C" w:rsidRDefault="007854EF" w:rsidP="004C4C97">
                  <w:pPr>
                    <w:pStyle w:val="ListParagraph"/>
                    <w:ind w:left="0"/>
                    <w:jc w:val="both"/>
                    <w:rPr>
                      <w:rFonts w:ascii="Arial" w:hAnsi="Arial" w:cs="Arial"/>
                    </w:rPr>
                  </w:pPr>
                  <w:r w:rsidRPr="007854EF">
                    <w:rPr>
                      <w:rFonts w:ascii="Arial" w:hAnsi="Arial" w:cs="Arial"/>
                    </w:rPr>
                    <w:t>Study Leave in OOP will only be available to trainees who are Out of Programme, OOPT. There must be clear evidence linking the application to the specific curriculum requirement for the trainee’s individual specialty.</w:t>
                  </w:r>
                </w:p>
              </w:tc>
            </w:tr>
            <w:tr w:rsidR="004C4C97" w:rsidRPr="00BC3515" w14:paraId="743B3F34" w14:textId="77777777" w:rsidTr="004818B4">
              <w:tc>
                <w:tcPr>
                  <w:tcW w:w="936" w:type="dxa"/>
                  <w:tcBorders>
                    <w:top w:val="nil"/>
                    <w:left w:val="nil"/>
                    <w:bottom w:val="nil"/>
                    <w:right w:val="nil"/>
                  </w:tcBorders>
                </w:tcPr>
                <w:p w14:paraId="59C79632" w14:textId="17E81F81" w:rsidR="004C4C97" w:rsidRPr="00362177" w:rsidRDefault="004C4C97" w:rsidP="00E4783B">
                  <w:pPr>
                    <w:pStyle w:val="ListParagraph"/>
                    <w:ind w:left="0"/>
                    <w:rPr>
                      <w:rFonts w:ascii="Arial" w:hAnsi="Arial" w:cs="Arial"/>
                      <w:b/>
                      <w:highlight w:val="yellow"/>
                    </w:rPr>
                  </w:pPr>
                </w:p>
              </w:tc>
              <w:tc>
                <w:tcPr>
                  <w:tcW w:w="7569" w:type="dxa"/>
                  <w:tcBorders>
                    <w:top w:val="nil"/>
                    <w:left w:val="nil"/>
                    <w:bottom w:val="nil"/>
                    <w:right w:val="nil"/>
                  </w:tcBorders>
                </w:tcPr>
                <w:p w14:paraId="58D9D5A1" w14:textId="3F0D5860" w:rsidR="004C4C97" w:rsidRPr="00362177" w:rsidRDefault="004C4C97" w:rsidP="004C4C97">
                  <w:pPr>
                    <w:pStyle w:val="ListParagraph"/>
                    <w:ind w:left="0"/>
                    <w:jc w:val="both"/>
                    <w:rPr>
                      <w:rFonts w:ascii="Arial" w:hAnsi="Arial" w:cs="Arial"/>
                      <w:color w:val="FF0000"/>
                      <w:highlight w:val="yellow"/>
                    </w:rPr>
                  </w:pPr>
                </w:p>
                <w:p w14:paraId="37E556AF" w14:textId="77777777" w:rsidR="004C4C97" w:rsidRPr="00362177" w:rsidRDefault="004C4C97" w:rsidP="00E05045">
                  <w:pPr>
                    <w:pStyle w:val="ListParagraph"/>
                    <w:ind w:left="0"/>
                    <w:jc w:val="both"/>
                    <w:rPr>
                      <w:rFonts w:ascii="Arial" w:hAnsi="Arial" w:cs="Arial"/>
                      <w:color w:val="FF0000"/>
                      <w:highlight w:val="yellow"/>
                    </w:rPr>
                  </w:pPr>
                </w:p>
              </w:tc>
            </w:tr>
            <w:tr w:rsidR="00BC3515" w:rsidRPr="00BC3515" w14:paraId="1256FA14" w14:textId="77777777" w:rsidTr="004818B4">
              <w:tc>
                <w:tcPr>
                  <w:tcW w:w="936" w:type="dxa"/>
                  <w:tcBorders>
                    <w:top w:val="nil"/>
                    <w:left w:val="nil"/>
                    <w:bottom w:val="nil"/>
                    <w:right w:val="nil"/>
                  </w:tcBorders>
                </w:tcPr>
                <w:p w14:paraId="1FF4A09C" w14:textId="77777777" w:rsidR="00E81F8E" w:rsidRDefault="00E81F8E" w:rsidP="001C6C3C">
                  <w:pPr>
                    <w:jc w:val="both"/>
                    <w:rPr>
                      <w:rFonts w:ascii="Arial" w:hAnsi="Arial" w:cs="Arial"/>
                      <w:b/>
                    </w:rPr>
                  </w:pPr>
                  <w:r>
                    <w:rPr>
                      <w:rFonts w:ascii="Arial" w:hAnsi="Arial" w:cs="Arial"/>
                      <w:b/>
                    </w:rPr>
                    <w:t>4</w:t>
                  </w:r>
                </w:p>
                <w:p w14:paraId="06C237BF" w14:textId="77777777" w:rsidR="00E81F8E" w:rsidRPr="001C6C3C" w:rsidRDefault="00E81F8E" w:rsidP="001C6C3C">
                  <w:pPr>
                    <w:jc w:val="both"/>
                    <w:rPr>
                      <w:rFonts w:ascii="Arial" w:hAnsi="Arial" w:cs="Arial"/>
                      <w:b/>
                    </w:rPr>
                  </w:pPr>
                </w:p>
              </w:tc>
              <w:tc>
                <w:tcPr>
                  <w:tcW w:w="7569" w:type="dxa"/>
                  <w:tcBorders>
                    <w:top w:val="nil"/>
                    <w:left w:val="nil"/>
                    <w:bottom w:val="nil"/>
                    <w:right w:val="nil"/>
                  </w:tcBorders>
                </w:tcPr>
                <w:p w14:paraId="63E16144" w14:textId="77777777" w:rsidR="00BC3515" w:rsidRDefault="00BC3515" w:rsidP="00BC3515">
                  <w:pPr>
                    <w:jc w:val="both"/>
                    <w:rPr>
                      <w:rFonts w:ascii="Arial" w:hAnsi="Arial" w:cs="Arial"/>
                      <w:b/>
                      <w:u w:val="single"/>
                    </w:rPr>
                  </w:pPr>
                  <w:r w:rsidRPr="00BC3515">
                    <w:rPr>
                      <w:rFonts w:ascii="Arial" w:hAnsi="Arial" w:cs="Arial"/>
                      <w:b/>
                      <w:u w:val="single"/>
                    </w:rPr>
                    <w:t>Study Leave Funding</w:t>
                  </w:r>
                </w:p>
                <w:p w14:paraId="585D6776" w14:textId="77777777" w:rsidR="00854B30" w:rsidRPr="00BC3515" w:rsidRDefault="00854B30" w:rsidP="00BC3515">
                  <w:pPr>
                    <w:jc w:val="both"/>
                    <w:rPr>
                      <w:rFonts w:ascii="Arial" w:hAnsi="Arial" w:cs="Arial"/>
                      <w:b/>
                    </w:rPr>
                  </w:pPr>
                </w:p>
              </w:tc>
            </w:tr>
            <w:tr w:rsidR="00BC3515" w:rsidRPr="00BC3515" w14:paraId="11E69AD6" w14:textId="77777777" w:rsidTr="004818B4">
              <w:tc>
                <w:tcPr>
                  <w:tcW w:w="936" w:type="dxa"/>
                  <w:tcBorders>
                    <w:top w:val="nil"/>
                    <w:left w:val="nil"/>
                    <w:bottom w:val="nil"/>
                    <w:right w:val="nil"/>
                  </w:tcBorders>
                </w:tcPr>
                <w:p w14:paraId="6390668A" w14:textId="77777777" w:rsidR="00BC3515" w:rsidRDefault="00BC3515" w:rsidP="000B585B">
                  <w:pPr>
                    <w:jc w:val="right"/>
                    <w:rPr>
                      <w:rFonts w:ascii="Arial" w:hAnsi="Arial" w:cs="Arial"/>
                      <w:b/>
                    </w:rPr>
                  </w:pPr>
                  <w:r w:rsidRPr="00854B30">
                    <w:rPr>
                      <w:rFonts w:ascii="Arial" w:hAnsi="Arial" w:cs="Arial"/>
                      <w:b/>
                    </w:rPr>
                    <w:t>4.1</w:t>
                  </w:r>
                </w:p>
                <w:p w14:paraId="55935B09" w14:textId="77777777" w:rsidR="00872E4A" w:rsidRDefault="00872E4A" w:rsidP="000B585B">
                  <w:pPr>
                    <w:jc w:val="right"/>
                    <w:rPr>
                      <w:rFonts w:ascii="Arial" w:hAnsi="Arial" w:cs="Arial"/>
                      <w:b/>
                    </w:rPr>
                  </w:pPr>
                </w:p>
                <w:p w14:paraId="6EA0D052" w14:textId="77777777" w:rsidR="00872E4A" w:rsidRDefault="00872E4A" w:rsidP="000B585B">
                  <w:pPr>
                    <w:jc w:val="right"/>
                    <w:rPr>
                      <w:rFonts w:ascii="Arial" w:hAnsi="Arial" w:cs="Arial"/>
                      <w:b/>
                    </w:rPr>
                  </w:pPr>
                </w:p>
                <w:p w14:paraId="754EAD98" w14:textId="77777777" w:rsidR="00872E4A" w:rsidRDefault="00872E4A" w:rsidP="000B585B">
                  <w:pPr>
                    <w:jc w:val="right"/>
                    <w:rPr>
                      <w:rFonts w:ascii="Arial" w:hAnsi="Arial" w:cs="Arial"/>
                      <w:b/>
                    </w:rPr>
                  </w:pPr>
                </w:p>
                <w:p w14:paraId="074821E3" w14:textId="77777777" w:rsidR="00872E4A" w:rsidRDefault="00872E4A" w:rsidP="000B585B">
                  <w:pPr>
                    <w:jc w:val="right"/>
                    <w:rPr>
                      <w:rFonts w:ascii="Arial" w:hAnsi="Arial" w:cs="Arial"/>
                      <w:b/>
                    </w:rPr>
                  </w:pPr>
                </w:p>
                <w:p w14:paraId="0382DA02" w14:textId="77777777" w:rsidR="00872E4A" w:rsidRDefault="00872E4A" w:rsidP="000B585B">
                  <w:pPr>
                    <w:jc w:val="right"/>
                    <w:rPr>
                      <w:rFonts w:ascii="Arial" w:hAnsi="Arial" w:cs="Arial"/>
                      <w:b/>
                    </w:rPr>
                  </w:pPr>
                </w:p>
                <w:p w14:paraId="5FBC03B7" w14:textId="77777777" w:rsidR="00872E4A" w:rsidRDefault="00872E4A" w:rsidP="000B585B">
                  <w:pPr>
                    <w:jc w:val="right"/>
                    <w:rPr>
                      <w:rFonts w:ascii="Arial" w:hAnsi="Arial" w:cs="Arial"/>
                      <w:b/>
                    </w:rPr>
                  </w:pPr>
                </w:p>
                <w:p w14:paraId="2C8BBB14" w14:textId="77777777" w:rsidR="00872E4A" w:rsidRDefault="00872E4A" w:rsidP="000B585B">
                  <w:pPr>
                    <w:jc w:val="right"/>
                    <w:rPr>
                      <w:rFonts w:ascii="Arial" w:hAnsi="Arial" w:cs="Arial"/>
                      <w:b/>
                    </w:rPr>
                  </w:pPr>
                </w:p>
                <w:p w14:paraId="6F945F16" w14:textId="77777777" w:rsidR="00872E4A" w:rsidRDefault="00872E4A" w:rsidP="000B585B">
                  <w:pPr>
                    <w:jc w:val="right"/>
                    <w:rPr>
                      <w:rFonts w:ascii="Arial" w:hAnsi="Arial" w:cs="Arial"/>
                      <w:b/>
                    </w:rPr>
                  </w:pPr>
                </w:p>
                <w:p w14:paraId="2DC48D6F" w14:textId="60448B4F" w:rsidR="00872E4A" w:rsidRPr="00854B30" w:rsidRDefault="00872E4A" w:rsidP="000B585B">
                  <w:pPr>
                    <w:jc w:val="right"/>
                    <w:rPr>
                      <w:rFonts w:ascii="Arial" w:hAnsi="Arial" w:cs="Arial"/>
                      <w:b/>
                    </w:rPr>
                  </w:pPr>
                </w:p>
              </w:tc>
              <w:tc>
                <w:tcPr>
                  <w:tcW w:w="7569" w:type="dxa"/>
                  <w:tcBorders>
                    <w:top w:val="nil"/>
                    <w:left w:val="nil"/>
                    <w:bottom w:val="nil"/>
                    <w:right w:val="nil"/>
                  </w:tcBorders>
                </w:tcPr>
                <w:p w14:paraId="12CB0760" w14:textId="478CFAEB" w:rsidR="001C6C3C" w:rsidRPr="000D1170" w:rsidRDefault="00065645" w:rsidP="0042196C">
                  <w:pPr>
                    <w:jc w:val="both"/>
                  </w:pPr>
                  <w:r w:rsidRPr="000D1170">
                    <w:rPr>
                      <w:rFonts w:ascii="Arial" w:hAnsi="Arial" w:cs="Arial"/>
                    </w:rPr>
                    <w:lastRenderedPageBreak/>
                    <w:t>R</w:t>
                  </w:r>
                  <w:r w:rsidR="00BC3515" w:rsidRPr="000D1170">
                    <w:rPr>
                      <w:rFonts w:ascii="Arial" w:hAnsi="Arial" w:cs="Arial"/>
                    </w:rPr>
                    <w:t>ecent changes with</w:t>
                  </w:r>
                  <w:r w:rsidRPr="000D1170">
                    <w:rPr>
                      <w:rFonts w:ascii="Arial" w:hAnsi="Arial" w:cs="Arial"/>
                    </w:rPr>
                    <w:t>in</w:t>
                  </w:r>
                  <w:r w:rsidR="00BC3515" w:rsidRPr="000D1170">
                    <w:rPr>
                      <w:rFonts w:ascii="Arial" w:hAnsi="Arial" w:cs="Arial"/>
                    </w:rPr>
                    <w:t xml:space="preserve"> </w:t>
                  </w:r>
                  <w:r w:rsidR="00A86619" w:rsidRPr="000D1170">
                    <w:rPr>
                      <w:rFonts w:ascii="Arial" w:hAnsi="Arial" w:cs="Arial"/>
                    </w:rPr>
                    <w:t>NHS England</w:t>
                  </w:r>
                  <w:r w:rsidR="00BC3515" w:rsidRPr="000D1170">
                    <w:rPr>
                      <w:rFonts w:ascii="Arial" w:hAnsi="Arial" w:cs="Arial"/>
                    </w:rPr>
                    <w:t xml:space="preserve"> guidance state that there is now no longer a formal individual cap to the budget. </w:t>
                  </w:r>
                  <w:r w:rsidRPr="000D1170">
                    <w:rPr>
                      <w:rFonts w:ascii="Arial" w:hAnsi="Arial" w:cs="Arial"/>
                    </w:rPr>
                    <w:t xml:space="preserve">However, the notional Study Leave budget per year per </w:t>
                  </w:r>
                  <w:r w:rsidR="005C298F" w:rsidRPr="000D1170">
                    <w:rPr>
                      <w:rFonts w:ascii="Arial" w:hAnsi="Arial" w:cs="Arial"/>
                    </w:rPr>
                    <w:t xml:space="preserve">Postgraduate Doctor </w:t>
                  </w:r>
                  <w:r w:rsidRPr="000D1170">
                    <w:rPr>
                      <w:rFonts w:ascii="Arial" w:hAnsi="Arial" w:cs="Arial"/>
                    </w:rPr>
                    <w:t>is approximately £76</w:t>
                  </w:r>
                  <w:r w:rsidR="00A86619" w:rsidRPr="000D1170">
                    <w:rPr>
                      <w:rFonts w:ascii="Arial" w:hAnsi="Arial" w:cs="Arial"/>
                    </w:rPr>
                    <w:t>7</w:t>
                  </w:r>
                  <w:r w:rsidRPr="000D1170">
                    <w:rPr>
                      <w:rFonts w:ascii="Arial" w:hAnsi="Arial" w:cs="Arial"/>
                    </w:rPr>
                    <w:t xml:space="preserve">. </w:t>
                  </w:r>
                  <w:r w:rsidR="00BC3515" w:rsidRPr="000D1170">
                    <w:rPr>
                      <w:rFonts w:ascii="Arial" w:hAnsi="Arial" w:cs="Arial"/>
                    </w:rPr>
                    <w:t xml:space="preserve">Applications will therefore be considered on an individual basis. </w:t>
                  </w:r>
                  <w:r w:rsidR="0042196C" w:rsidRPr="000D1170">
                    <w:rPr>
                      <w:rFonts w:ascii="Arial" w:hAnsi="Arial" w:cs="Arial"/>
                    </w:rPr>
                    <w:t>This financial allocation is not an entitlement but an allowance</w:t>
                  </w:r>
                  <w:r w:rsidR="0042196C" w:rsidRPr="000D1170">
                    <w:rPr>
                      <w:rFonts w:ascii="Arial" w:hAnsi="Arial" w:cs="Arial"/>
                      <w:color w:val="FF0000"/>
                    </w:rPr>
                    <w:t>.</w:t>
                  </w:r>
                  <w:r w:rsidR="00C62B87" w:rsidRPr="000D1170">
                    <w:rPr>
                      <w:rFonts w:ascii="Arial" w:hAnsi="Arial" w:cs="Arial"/>
                      <w:color w:val="FF0000"/>
                    </w:rPr>
                    <w:t xml:space="preserve"> </w:t>
                  </w:r>
                  <w:r w:rsidR="00BC3515" w:rsidRPr="000D1170">
                    <w:rPr>
                      <w:rFonts w:ascii="Arial" w:hAnsi="Arial" w:cs="Arial"/>
                    </w:rPr>
                    <w:t>It is however expected that funding that is</w:t>
                  </w:r>
                  <w:r w:rsidRPr="000D1170">
                    <w:rPr>
                      <w:rFonts w:ascii="Arial" w:hAnsi="Arial" w:cs="Arial"/>
                    </w:rPr>
                    <w:t>, in exceptional circumstances,</w:t>
                  </w:r>
                  <w:r w:rsidR="00BC3515" w:rsidRPr="000D1170">
                    <w:rPr>
                      <w:rFonts w:ascii="Arial" w:hAnsi="Arial" w:cs="Arial"/>
                    </w:rPr>
                    <w:t xml:space="preserve"> granted in </w:t>
                  </w:r>
                  <w:r w:rsidR="00BC3515" w:rsidRPr="000D1170">
                    <w:rPr>
                      <w:rFonts w:ascii="Arial" w:hAnsi="Arial" w:cs="Arial"/>
                    </w:rPr>
                    <w:lastRenderedPageBreak/>
                    <w:t xml:space="preserve">excess of the estimated value is to support activities that have been clearly validated as educationally appropriate within the </w:t>
                  </w:r>
                  <w:r w:rsidR="002F4316" w:rsidRPr="000D1170">
                    <w:rPr>
                      <w:rFonts w:ascii="Arial" w:hAnsi="Arial" w:cs="Arial"/>
                    </w:rPr>
                    <w:t>Postgraduate Doctor</w:t>
                  </w:r>
                  <w:r w:rsidR="004779AA" w:rsidRPr="000D1170">
                    <w:rPr>
                      <w:rFonts w:ascii="Arial" w:hAnsi="Arial" w:cs="Arial"/>
                    </w:rPr>
                    <w:t>s</w:t>
                  </w:r>
                  <w:r w:rsidR="00BC3515" w:rsidRPr="000D1170">
                    <w:rPr>
                      <w:rFonts w:ascii="Arial" w:hAnsi="Arial" w:cs="Arial"/>
                    </w:rPr>
                    <w:t>’ learning plan</w:t>
                  </w:r>
                  <w:r w:rsidR="0042196C" w:rsidRPr="000D1170">
                    <w:rPr>
                      <w:rFonts w:ascii="Arial" w:hAnsi="Arial" w:cs="Arial"/>
                    </w:rPr>
                    <w:t>.</w:t>
                  </w:r>
                </w:p>
              </w:tc>
            </w:tr>
            <w:tr w:rsidR="00BC3515" w:rsidRPr="00BC3515" w14:paraId="10200E13" w14:textId="77777777" w:rsidTr="004818B4">
              <w:tc>
                <w:tcPr>
                  <w:tcW w:w="936" w:type="dxa"/>
                  <w:tcBorders>
                    <w:top w:val="nil"/>
                    <w:left w:val="nil"/>
                    <w:bottom w:val="nil"/>
                    <w:right w:val="nil"/>
                  </w:tcBorders>
                </w:tcPr>
                <w:p w14:paraId="56CEB69E" w14:textId="048F5CF4" w:rsidR="00BC3515" w:rsidRPr="00854B30" w:rsidRDefault="00BC3515" w:rsidP="000B585B">
                  <w:pPr>
                    <w:jc w:val="right"/>
                    <w:rPr>
                      <w:rFonts w:ascii="Arial" w:hAnsi="Arial" w:cs="Arial"/>
                      <w:b/>
                    </w:rPr>
                  </w:pPr>
                  <w:r w:rsidRPr="00854B30">
                    <w:rPr>
                      <w:rFonts w:ascii="Arial" w:hAnsi="Arial" w:cs="Arial"/>
                      <w:b/>
                    </w:rPr>
                    <w:lastRenderedPageBreak/>
                    <w:t>4.</w:t>
                  </w:r>
                  <w:r w:rsidR="0042196C">
                    <w:rPr>
                      <w:rFonts w:ascii="Arial" w:hAnsi="Arial" w:cs="Arial"/>
                      <w:b/>
                    </w:rPr>
                    <w:t>2</w:t>
                  </w:r>
                </w:p>
              </w:tc>
              <w:tc>
                <w:tcPr>
                  <w:tcW w:w="7569" w:type="dxa"/>
                  <w:tcBorders>
                    <w:top w:val="nil"/>
                    <w:left w:val="nil"/>
                    <w:bottom w:val="nil"/>
                    <w:right w:val="nil"/>
                  </w:tcBorders>
                </w:tcPr>
                <w:p w14:paraId="5340B20D" w14:textId="1DAC9B0D" w:rsidR="00854B30" w:rsidRPr="000D1170" w:rsidRDefault="00BC3515" w:rsidP="00BC3515">
                  <w:pPr>
                    <w:jc w:val="both"/>
                    <w:rPr>
                      <w:rFonts w:ascii="Arial" w:hAnsi="Arial" w:cs="Arial"/>
                    </w:rPr>
                  </w:pPr>
                  <w:r w:rsidRPr="000D1170">
                    <w:rPr>
                      <w:rFonts w:ascii="Arial" w:hAnsi="Arial" w:cs="Arial"/>
                    </w:rPr>
                    <w:t>In CT1 and CT2</w:t>
                  </w:r>
                  <w:r w:rsidR="00C62B87" w:rsidRPr="000D1170">
                    <w:rPr>
                      <w:rFonts w:ascii="Arial" w:hAnsi="Arial" w:cs="Arial"/>
                    </w:rPr>
                    <w:t>,</w:t>
                  </w:r>
                  <w:r w:rsidRPr="000D1170">
                    <w:rPr>
                      <w:rFonts w:ascii="Arial" w:hAnsi="Arial" w:cs="Arial"/>
                    </w:rPr>
                    <w:t xml:space="preserve"> </w:t>
                  </w:r>
                  <w:r w:rsidR="00872E4A" w:rsidRPr="000D1170">
                    <w:rPr>
                      <w:rFonts w:ascii="Arial" w:hAnsi="Arial" w:cs="Arial"/>
                    </w:rPr>
                    <w:t>a proportion</w:t>
                  </w:r>
                  <w:r w:rsidRPr="000D1170">
                    <w:rPr>
                      <w:rFonts w:ascii="Arial" w:hAnsi="Arial" w:cs="Arial"/>
                    </w:rPr>
                    <w:t xml:space="preserve"> of the budget </w:t>
                  </w:r>
                  <w:r w:rsidR="00872E4A" w:rsidRPr="000D1170">
                    <w:rPr>
                      <w:rFonts w:ascii="Arial" w:hAnsi="Arial" w:cs="Arial"/>
                    </w:rPr>
                    <w:t>is</w:t>
                  </w:r>
                  <w:r w:rsidRPr="000D1170">
                    <w:rPr>
                      <w:rFonts w:ascii="Arial" w:hAnsi="Arial" w:cs="Arial"/>
                    </w:rPr>
                    <w:t xml:space="preserve"> </w:t>
                  </w:r>
                  <w:proofErr w:type="gramStart"/>
                  <w:r w:rsidRPr="000D1170">
                    <w:rPr>
                      <w:rFonts w:ascii="Arial" w:hAnsi="Arial" w:cs="Arial"/>
                    </w:rPr>
                    <w:t>top-sliced</w:t>
                  </w:r>
                  <w:proofErr w:type="gramEnd"/>
                  <w:r w:rsidRPr="000D1170">
                    <w:rPr>
                      <w:rFonts w:ascii="Arial" w:hAnsi="Arial" w:cs="Arial"/>
                    </w:rPr>
                    <w:t xml:space="preserve"> to provide the Regional &amp; Local Academic Programmes. </w:t>
                  </w:r>
                  <w:r w:rsidR="00872E4A" w:rsidRPr="000D1170">
                    <w:rPr>
                      <w:rFonts w:ascii="Arial" w:hAnsi="Arial" w:cs="Arial"/>
                    </w:rPr>
                    <w:t xml:space="preserve">This will vary dependent on course costs but still leaves around 60% of study leave budget for educational activity.  CT1 and CT2 can still apply for study leave for educational activities within the 7 days available.  </w:t>
                  </w:r>
                </w:p>
                <w:p w14:paraId="73FB70B7" w14:textId="77777777" w:rsidR="000B585B" w:rsidRPr="000D1170" w:rsidRDefault="000B585B" w:rsidP="00BC3515">
                  <w:pPr>
                    <w:jc w:val="both"/>
                    <w:rPr>
                      <w:rFonts w:ascii="Arial" w:hAnsi="Arial" w:cs="Arial"/>
                    </w:rPr>
                  </w:pPr>
                </w:p>
              </w:tc>
            </w:tr>
            <w:tr w:rsidR="00BC3515" w:rsidRPr="00BC3515" w14:paraId="7EF2159C" w14:textId="77777777" w:rsidTr="004818B4">
              <w:tc>
                <w:tcPr>
                  <w:tcW w:w="936" w:type="dxa"/>
                  <w:tcBorders>
                    <w:top w:val="nil"/>
                    <w:left w:val="nil"/>
                    <w:bottom w:val="nil"/>
                    <w:right w:val="nil"/>
                  </w:tcBorders>
                </w:tcPr>
                <w:p w14:paraId="38C8B077" w14:textId="5A95EB90" w:rsidR="00BC3515" w:rsidRPr="00854B30" w:rsidRDefault="00BC3515" w:rsidP="000B585B">
                  <w:pPr>
                    <w:jc w:val="right"/>
                    <w:rPr>
                      <w:rFonts w:ascii="Arial" w:hAnsi="Arial" w:cs="Arial"/>
                      <w:b/>
                    </w:rPr>
                  </w:pPr>
                  <w:r w:rsidRPr="00854B30">
                    <w:rPr>
                      <w:rFonts w:ascii="Arial" w:hAnsi="Arial" w:cs="Arial"/>
                      <w:b/>
                    </w:rPr>
                    <w:t>4.</w:t>
                  </w:r>
                  <w:r w:rsidR="0042196C">
                    <w:rPr>
                      <w:rFonts w:ascii="Arial" w:hAnsi="Arial" w:cs="Arial"/>
                      <w:b/>
                    </w:rPr>
                    <w:t>3</w:t>
                  </w:r>
                </w:p>
              </w:tc>
              <w:tc>
                <w:tcPr>
                  <w:tcW w:w="7569" w:type="dxa"/>
                  <w:tcBorders>
                    <w:top w:val="nil"/>
                    <w:left w:val="nil"/>
                    <w:bottom w:val="nil"/>
                    <w:right w:val="nil"/>
                  </w:tcBorders>
                </w:tcPr>
                <w:p w14:paraId="06269C9A" w14:textId="77777777" w:rsidR="00BC3515" w:rsidRDefault="00BC3515" w:rsidP="00BC3515">
                  <w:pPr>
                    <w:jc w:val="both"/>
                    <w:rPr>
                      <w:rFonts w:ascii="Arial" w:hAnsi="Arial" w:cs="Arial"/>
                    </w:rPr>
                  </w:pPr>
                  <w:r w:rsidRPr="00BC3515">
                    <w:rPr>
                      <w:rFonts w:ascii="Arial" w:hAnsi="Arial" w:cs="Arial"/>
                    </w:rPr>
                    <w:t>Study Leave funding is not available for exam fee</w:t>
                  </w:r>
                  <w:r w:rsidR="00127A3C">
                    <w:rPr>
                      <w:rFonts w:ascii="Arial" w:hAnsi="Arial" w:cs="Arial"/>
                    </w:rPr>
                    <w:t>s</w:t>
                  </w:r>
                  <w:r w:rsidRPr="00BC3515">
                    <w:rPr>
                      <w:rFonts w:ascii="Arial" w:hAnsi="Arial" w:cs="Arial"/>
                    </w:rPr>
                    <w:t>, but travel, accommodation and subsistence can be applied for. For 1</w:t>
                  </w:r>
                  <w:r w:rsidRPr="00BC3515">
                    <w:rPr>
                      <w:rFonts w:ascii="Arial" w:hAnsi="Arial" w:cs="Arial"/>
                      <w:vertAlign w:val="superscript"/>
                    </w:rPr>
                    <w:t>st</w:t>
                  </w:r>
                  <w:r w:rsidRPr="00BC3515">
                    <w:rPr>
                      <w:rFonts w:ascii="Arial" w:hAnsi="Arial" w:cs="Arial"/>
                    </w:rPr>
                    <w:t xml:space="preserve"> and 2</w:t>
                  </w:r>
                  <w:r w:rsidRPr="00BC3515">
                    <w:rPr>
                      <w:rFonts w:ascii="Arial" w:hAnsi="Arial" w:cs="Arial"/>
                      <w:vertAlign w:val="superscript"/>
                    </w:rPr>
                    <w:t>nd</w:t>
                  </w:r>
                  <w:r w:rsidRPr="00BC3515">
                    <w:rPr>
                      <w:rFonts w:ascii="Arial" w:hAnsi="Arial" w:cs="Arial"/>
                    </w:rPr>
                    <w:t xml:space="preserve"> exam attempts, leave with pay plus expenses can be applied for. Subsequent attempts are eligible for paid leave only.</w:t>
                  </w:r>
                </w:p>
                <w:p w14:paraId="12526B7B" w14:textId="77777777" w:rsidR="000B585B" w:rsidRPr="00BC3515" w:rsidRDefault="000B585B" w:rsidP="00BC3515">
                  <w:pPr>
                    <w:jc w:val="both"/>
                    <w:rPr>
                      <w:rFonts w:ascii="Arial" w:hAnsi="Arial" w:cs="Arial"/>
                    </w:rPr>
                  </w:pPr>
                </w:p>
              </w:tc>
            </w:tr>
            <w:tr w:rsidR="00BC3515" w:rsidRPr="00BC3515" w14:paraId="00BD7E4C" w14:textId="77777777" w:rsidTr="004818B4">
              <w:tc>
                <w:tcPr>
                  <w:tcW w:w="936" w:type="dxa"/>
                  <w:tcBorders>
                    <w:top w:val="nil"/>
                    <w:left w:val="nil"/>
                    <w:bottom w:val="nil"/>
                    <w:right w:val="nil"/>
                  </w:tcBorders>
                </w:tcPr>
                <w:p w14:paraId="28341043" w14:textId="36CC7AF4" w:rsidR="00BC3515" w:rsidRDefault="00BC3515" w:rsidP="000B585B">
                  <w:pPr>
                    <w:jc w:val="right"/>
                    <w:rPr>
                      <w:rFonts w:ascii="Arial" w:hAnsi="Arial" w:cs="Arial"/>
                      <w:b/>
                    </w:rPr>
                  </w:pPr>
                  <w:r w:rsidRPr="00854B30">
                    <w:rPr>
                      <w:rFonts w:ascii="Arial" w:hAnsi="Arial" w:cs="Arial"/>
                      <w:b/>
                    </w:rPr>
                    <w:t>4.</w:t>
                  </w:r>
                  <w:r w:rsidR="0042196C">
                    <w:rPr>
                      <w:rFonts w:ascii="Arial" w:hAnsi="Arial" w:cs="Arial"/>
                      <w:b/>
                    </w:rPr>
                    <w:t>4</w:t>
                  </w:r>
                </w:p>
                <w:p w14:paraId="7060A74A" w14:textId="77777777" w:rsidR="005D1C25" w:rsidRDefault="005D1C25" w:rsidP="000B585B">
                  <w:pPr>
                    <w:jc w:val="right"/>
                    <w:rPr>
                      <w:rFonts w:ascii="Arial" w:hAnsi="Arial" w:cs="Arial"/>
                      <w:b/>
                    </w:rPr>
                  </w:pPr>
                </w:p>
                <w:p w14:paraId="46FEB0A0" w14:textId="77777777" w:rsidR="005D1C25" w:rsidRDefault="005D1C25" w:rsidP="000B585B">
                  <w:pPr>
                    <w:jc w:val="right"/>
                    <w:rPr>
                      <w:rFonts w:ascii="Arial" w:hAnsi="Arial" w:cs="Arial"/>
                      <w:b/>
                    </w:rPr>
                  </w:pPr>
                </w:p>
                <w:p w14:paraId="349B93F6" w14:textId="77777777" w:rsidR="005D1C25" w:rsidRDefault="005D1C25" w:rsidP="000B585B">
                  <w:pPr>
                    <w:jc w:val="right"/>
                    <w:rPr>
                      <w:rFonts w:ascii="Arial" w:hAnsi="Arial" w:cs="Arial"/>
                      <w:b/>
                    </w:rPr>
                  </w:pPr>
                </w:p>
                <w:p w14:paraId="3520DBBC" w14:textId="77777777" w:rsidR="00431B64" w:rsidRDefault="00431B64" w:rsidP="000B585B">
                  <w:pPr>
                    <w:jc w:val="right"/>
                    <w:rPr>
                      <w:rFonts w:ascii="Arial" w:hAnsi="Arial" w:cs="Arial"/>
                      <w:b/>
                    </w:rPr>
                  </w:pPr>
                </w:p>
                <w:p w14:paraId="09947768" w14:textId="79F9E2F5" w:rsidR="0042196C" w:rsidRDefault="0042196C" w:rsidP="00872E4A">
                  <w:pPr>
                    <w:rPr>
                      <w:rFonts w:ascii="Arial" w:hAnsi="Arial" w:cs="Arial"/>
                      <w:b/>
                    </w:rPr>
                  </w:pPr>
                </w:p>
                <w:p w14:paraId="54325EE9" w14:textId="77777777" w:rsidR="00431B64" w:rsidRDefault="0042196C" w:rsidP="00872E4A">
                  <w:pPr>
                    <w:rPr>
                      <w:rFonts w:ascii="Arial" w:hAnsi="Arial" w:cs="Arial"/>
                      <w:b/>
                    </w:rPr>
                  </w:pPr>
                  <w:r>
                    <w:rPr>
                      <w:rFonts w:ascii="Arial" w:hAnsi="Arial" w:cs="Arial"/>
                      <w:b/>
                    </w:rPr>
                    <w:t xml:space="preserve">      </w:t>
                  </w:r>
                  <w:r w:rsidR="00431B64">
                    <w:rPr>
                      <w:rFonts w:ascii="Arial" w:hAnsi="Arial" w:cs="Arial"/>
                      <w:b/>
                    </w:rPr>
                    <w:t>4.</w:t>
                  </w:r>
                  <w:r>
                    <w:rPr>
                      <w:rFonts w:ascii="Arial" w:hAnsi="Arial" w:cs="Arial"/>
                      <w:b/>
                    </w:rPr>
                    <w:t>5</w:t>
                  </w:r>
                </w:p>
                <w:p w14:paraId="02E1C1ED" w14:textId="77777777" w:rsidR="002E5CF6" w:rsidRDefault="002E5CF6" w:rsidP="00872E4A">
                  <w:pPr>
                    <w:rPr>
                      <w:rFonts w:ascii="Arial" w:hAnsi="Arial" w:cs="Arial"/>
                      <w:b/>
                    </w:rPr>
                  </w:pPr>
                </w:p>
                <w:p w14:paraId="00983F15" w14:textId="77777777" w:rsidR="002E5CF6" w:rsidRDefault="002E5CF6" w:rsidP="00872E4A">
                  <w:pPr>
                    <w:rPr>
                      <w:rFonts w:ascii="Arial" w:hAnsi="Arial" w:cs="Arial"/>
                      <w:b/>
                    </w:rPr>
                  </w:pPr>
                </w:p>
                <w:p w14:paraId="33CAD5F3" w14:textId="4AAA414F" w:rsidR="002E5CF6" w:rsidRPr="00854B30" w:rsidRDefault="002E5CF6" w:rsidP="00872E4A">
                  <w:pPr>
                    <w:rPr>
                      <w:rFonts w:ascii="Arial" w:hAnsi="Arial" w:cs="Arial"/>
                      <w:b/>
                    </w:rPr>
                  </w:pPr>
                </w:p>
              </w:tc>
              <w:tc>
                <w:tcPr>
                  <w:tcW w:w="7569" w:type="dxa"/>
                  <w:tcBorders>
                    <w:top w:val="nil"/>
                    <w:left w:val="nil"/>
                    <w:bottom w:val="nil"/>
                    <w:right w:val="nil"/>
                  </w:tcBorders>
                </w:tcPr>
                <w:p w14:paraId="48D2AE5B" w14:textId="3A28D6B3" w:rsidR="002E5CF6" w:rsidRDefault="002E5CF6" w:rsidP="00127A3C">
                  <w:pPr>
                    <w:jc w:val="both"/>
                    <w:rPr>
                      <w:rFonts w:ascii="Arial" w:hAnsi="Arial" w:cs="Arial"/>
                    </w:rPr>
                  </w:pPr>
                  <w:r w:rsidRPr="000D1170">
                    <w:rPr>
                      <w:rFonts w:ascii="Arial" w:hAnsi="Arial" w:cs="Arial"/>
                    </w:rPr>
                    <w:t>For overnight accommodation within London, the overnight rate should not exceed £150 per night, proof of payment and confirmation of number of days and dates are required, this applies to stays outside of London as well. For overnight accommodation outside London including overseas should not exceed £120 per night.</w:t>
                  </w:r>
                </w:p>
                <w:p w14:paraId="4BC15D01" w14:textId="77777777" w:rsidR="002E5CF6" w:rsidRDefault="002E5CF6" w:rsidP="00127A3C">
                  <w:pPr>
                    <w:jc w:val="both"/>
                    <w:rPr>
                      <w:rFonts w:ascii="Arial" w:hAnsi="Arial" w:cs="Arial"/>
                    </w:rPr>
                  </w:pPr>
                </w:p>
                <w:p w14:paraId="56E094E8" w14:textId="0284DC3A" w:rsidR="000B585B" w:rsidRPr="002E5CF6" w:rsidRDefault="00BC3515" w:rsidP="00BC3515">
                  <w:pPr>
                    <w:jc w:val="both"/>
                    <w:rPr>
                      <w:rFonts w:ascii="Arial" w:hAnsi="Arial" w:cs="Arial"/>
                      <w:color w:val="FF0000"/>
                    </w:rPr>
                  </w:pPr>
                  <w:r w:rsidRPr="00872E4A">
                    <w:rPr>
                      <w:rFonts w:ascii="Arial" w:hAnsi="Arial" w:cs="Arial"/>
                    </w:rPr>
                    <w:t>Travel expenses can be reimbursed @ 23p per mile, up to a maximum of a standard class return from a trainee’s base hospital to the course/conference venue.</w:t>
                  </w:r>
                </w:p>
              </w:tc>
            </w:tr>
            <w:tr w:rsidR="00BC3515" w:rsidRPr="00BC3515" w14:paraId="66C15AE7" w14:textId="77777777" w:rsidTr="004818B4">
              <w:tc>
                <w:tcPr>
                  <w:tcW w:w="936" w:type="dxa"/>
                  <w:tcBorders>
                    <w:top w:val="nil"/>
                    <w:left w:val="nil"/>
                    <w:bottom w:val="nil"/>
                    <w:right w:val="nil"/>
                  </w:tcBorders>
                </w:tcPr>
                <w:p w14:paraId="00A2E050" w14:textId="42582230" w:rsidR="00BC3515" w:rsidRPr="00854B30" w:rsidRDefault="002E5CF6" w:rsidP="002E5CF6">
                  <w:pPr>
                    <w:pStyle w:val="ListParagraph"/>
                    <w:ind w:left="0"/>
                    <w:rPr>
                      <w:rFonts w:ascii="Arial" w:hAnsi="Arial" w:cs="Arial"/>
                      <w:b/>
                    </w:rPr>
                  </w:pPr>
                  <w:r>
                    <w:rPr>
                      <w:rFonts w:ascii="Arial" w:hAnsi="Arial" w:cs="Arial"/>
                      <w:b/>
                    </w:rPr>
                    <w:t xml:space="preserve">      4.6</w:t>
                  </w:r>
                </w:p>
              </w:tc>
              <w:tc>
                <w:tcPr>
                  <w:tcW w:w="7569" w:type="dxa"/>
                  <w:tcBorders>
                    <w:top w:val="nil"/>
                    <w:left w:val="nil"/>
                    <w:bottom w:val="nil"/>
                    <w:right w:val="nil"/>
                  </w:tcBorders>
                </w:tcPr>
                <w:p w14:paraId="06F721DE" w14:textId="3B8FCBF5" w:rsidR="000B585B" w:rsidRPr="000D1170" w:rsidRDefault="00C1739D" w:rsidP="00E05045">
                  <w:pPr>
                    <w:pStyle w:val="ListParagraph"/>
                    <w:ind w:left="0"/>
                    <w:jc w:val="both"/>
                    <w:rPr>
                      <w:rFonts w:ascii="Arial" w:hAnsi="Arial" w:cs="Arial"/>
                    </w:rPr>
                  </w:pPr>
                  <w:r w:rsidRPr="000D1170">
                    <w:rPr>
                      <w:rFonts w:ascii="Arial" w:hAnsi="Arial" w:cs="Arial"/>
                    </w:rPr>
                    <w:t>Subsistence payments can be claimed up to a maximum of £20 per day. Itemised receipts are required for payment to be approved.</w:t>
                  </w:r>
                </w:p>
                <w:p w14:paraId="7A2B35F1" w14:textId="2FF93871" w:rsidR="00C1739D" w:rsidRPr="000D1170" w:rsidRDefault="00C1739D" w:rsidP="00E05045">
                  <w:pPr>
                    <w:pStyle w:val="ListParagraph"/>
                    <w:ind w:left="0"/>
                    <w:jc w:val="both"/>
                    <w:rPr>
                      <w:rFonts w:ascii="Arial" w:hAnsi="Arial" w:cs="Arial"/>
                      <w:color w:val="FF0000"/>
                    </w:rPr>
                  </w:pPr>
                </w:p>
              </w:tc>
            </w:tr>
            <w:tr w:rsidR="00BC3515" w:rsidRPr="00BC3515" w14:paraId="604DDEDC" w14:textId="77777777" w:rsidTr="004818B4">
              <w:tc>
                <w:tcPr>
                  <w:tcW w:w="936" w:type="dxa"/>
                  <w:tcBorders>
                    <w:top w:val="nil"/>
                    <w:left w:val="nil"/>
                    <w:bottom w:val="nil"/>
                    <w:right w:val="nil"/>
                  </w:tcBorders>
                </w:tcPr>
                <w:p w14:paraId="22C9367F" w14:textId="5925213F" w:rsidR="00BC3515" w:rsidRPr="00854B30" w:rsidRDefault="00BC3515" w:rsidP="000B585B">
                  <w:pPr>
                    <w:jc w:val="right"/>
                    <w:rPr>
                      <w:rFonts w:ascii="Arial" w:hAnsi="Arial" w:cs="Arial"/>
                      <w:b/>
                    </w:rPr>
                  </w:pPr>
                  <w:r w:rsidRPr="00854B30">
                    <w:rPr>
                      <w:rFonts w:ascii="Arial" w:hAnsi="Arial" w:cs="Arial"/>
                      <w:b/>
                    </w:rPr>
                    <w:t>4.</w:t>
                  </w:r>
                  <w:r w:rsidR="0042196C">
                    <w:rPr>
                      <w:rFonts w:ascii="Arial" w:hAnsi="Arial" w:cs="Arial"/>
                      <w:b/>
                    </w:rPr>
                    <w:t>7</w:t>
                  </w:r>
                </w:p>
              </w:tc>
              <w:tc>
                <w:tcPr>
                  <w:tcW w:w="7569" w:type="dxa"/>
                  <w:tcBorders>
                    <w:top w:val="nil"/>
                    <w:left w:val="nil"/>
                    <w:bottom w:val="nil"/>
                    <w:right w:val="nil"/>
                  </w:tcBorders>
                </w:tcPr>
                <w:p w14:paraId="1C3C732A" w14:textId="4A036518" w:rsidR="00BC3515" w:rsidRDefault="00BC3515" w:rsidP="00E05045">
                  <w:pPr>
                    <w:jc w:val="both"/>
                    <w:rPr>
                      <w:rFonts w:ascii="Arial" w:hAnsi="Arial" w:cs="Arial"/>
                    </w:rPr>
                  </w:pPr>
                  <w:r w:rsidRPr="00BC3515">
                    <w:rPr>
                      <w:rFonts w:ascii="Arial" w:hAnsi="Arial" w:cs="Arial"/>
                    </w:rPr>
                    <w:t xml:space="preserve">Travel expenses to and from the Regional &amp; Local Academic Programmes are not covered by the Study Leave </w:t>
                  </w:r>
                  <w:r w:rsidR="00872E4A" w:rsidRPr="00BC3515">
                    <w:rPr>
                      <w:rFonts w:ascii="Arial" w:hAnsi="Arial" w:cs="Arial"/>
                    </w:rPr>
                    <w:t>budget and</w:t>
                  </w:r>
                  <w:r w:rsidRPr="00BC3515">
                    <w:rPr>
                      <w:rFonts w:ascii="Arial" w:hAnsi="Arial" w:cs="Arial"/>
                    </w:rPr>
                    <w:t xml:space="preserve"> should be applied for from the </w:t>
                  </w:r>
                  <w:r w:rsidR="00431B64">
                    <w:rPr>
                      <w:rFonts w:ascii="Arial" w:hAnsi="Arial" w:cs="Arial"/>
                    </w:rPr>
                    <w:t>Postgraduate Doctor’s</w:t>
                  </w:r>
                  <w:r w:rsidRPr="00BC3515">
                    <w:rPr>
                      <w:rFonts w:ascii="Arial" w:hAnsi="Arial" w:cs="Arial"/>
                    </w:rPr>
                    <w:t xml:space="preserve"> local Trust.  </w:t>
                  </w:r>
                </w:p>
                <w:p w14:paraId="561AE19B" w14:textId="77777777" w:rsidR="000B585B" w:rsidRPr="00BC3515" w:rsidRDefault="000B585B" w:rsidP="00E05045">
                  <w:pPr>
                    <w:jc w:val="both"/>
                    <w:rPr>
                      <w:rFonts w:ascii="Arial" w:hAnsi="Arial" w:cs="Arial"/>
                    </w:rPr>
                  </w:pPr>
                </w:p>
              </w:tc>
            </w:tr>
            <w:tr w:rsidR="00BC3515" w:rsidRPr="00BC3515" w14:paraId="13BC4D40" w14:textId="77777777" w:rsidTr="004818B4">
              <w:tc>
                <w:tcPr>
                  <w:tcW w:w="936" w:type="dxa"/>
                  <w:tcBorders>
                    <w:top w:val="nil"/>
                    <w:left w:val="nil"/>
                    <w:bottom w:val="nil"/>
                    <w:right w:val="nil"/>
                  </w:tcBorders>
                </w:tcPr>
                <w:p w14:paraId="50BB369A" w14:textId="77777777" w:rsidR="00BC3515" w:rsidRDefault="00BC3515" w:rsidP="000B585B">
                  <w:pPr>
                    <w:jc w:val="right"/>
                    <w:rPr>
                      <w:rFonts w:ascii="Arial" w:hAnsi="Arial" w:cs="Arial"/>
                      <w:b/>
                    </w:rPr>
                  </w:pPr>
                  <w:r w:rsidRPr="00854B30">
                    <w:rPr>
                      <w:rFonts w:ascii="Arial" w:hAnsi="Arial" w:cs="Arial"/>
                      <w:b/>
                    </w:rPr>
                    <w:t>4.</w:t>
                  </w:r>
                  <w:r w:rsidR="0042196C">
                    <w:rPr>
                      <w:rFonts w:ascii="Arial" w:hAnsi="Arial" w:cs="Arial"/>
                      <w:b/>
                    </w:rPr>
                    <w:t>8</w:t>
                  </w:r>
                </w:p>
                <w:p w14:paraId="32DF318F" w14:textId="77777777" w:rsidR="00EF4271" w:rsidRDefault="00EF4271" w:rsidP="000B585B">
                  <w:pPr>
                    <w:jc w:val="right"/>
                    <w:rPr>
                      <w:rFonts w:ascii="Arial" w:hAnsi="Arial" w:cs="Arial"/>
                      <w:b/>
                    </w:rPr>
                  </w:pPr>
                </w:p>
                <w:p w14:paraId="5456FDC5" w14:textId="77777777" w:rsidR="00EF4271" w:rsidRDefault="00EF4271" w:rsidP="000B585B">
                  <w:pPr>
                    <w:jc w:val="right"/>
                    <w:rPr>
                      <w:rFonts w:ascii="Arial" w:hAnsi="Arial" w:cs="Arial"/>
                      <w:b/>
                    </w:rPr>
                  </w:pPr>
                </w:p>
                <w:p w14:paraId="7917DF49" w14:textId="77777777" w:rsidR="00EF4271" w:rsidRDefault="00EF4271" w:rsidP="000B585B">
                  <w:pPr>
                    <w:jc w:val="right"/>
                    <w:rPr>
                      <w:rFonts w:ascii="Arial" w:hAnsi="Arial" w:cs="Arial"/>
                      <w:b/>
                    </w:rPr>
                  </w:pPr>
                </w:p>
                <w:p w14:paraId="266B78D0" w14:textId="64322C78" w:rsidR="00EF4271" w:rsidRPr="00854B30" w:rsidRDefault="00EF4271" w:rsidP="000B585B">
                  <w:pPr>
                    <w:jc w:val="right"/>
                    <w:rPr>
                      <w:rFonts w:ascii="Arial" w:hAnsi="Arial" w:cs="Arial"/>
                      <w:b/>
                    </w:rPr>
                  </w:pPr>
                  <w:r>
                    <w:rPr>
                      <w:rFonts w:ascii="Arial" w:hAnsi="Arial" w:cs="Arial"/>
                      <w:b/>
                    </w:rPr>
                    <w:t>4.9</w:t>
                  </w:r>
                </w:p>
              </w:tc>
              <w:tc>
                <w:tcPr>
                  <w:tcW w:w="7569" w:type="dxa"/>
                  <w:tcBorders>
                    <w:top w:val="nil"/>
                    <w:left w:val="nil"/>
                    <w:bottom w:val="nil"/>
                    <w:right w:val="nil"/>
                  </w:tcBorders>
                </w:tcPr>
                <w:p w14:paraId="1B9B2F80" w14:textId="77777777" w:rsidR="00EF4271" w:rsidRDefault="00BC3515" w:rsidP="00BC3515">
                  <w:pPr>
                    <w:jc w:val="both"/>
                    <w:rPr>
                      <w:rFonts w:ascii="Arial" w:hAnsi="Arial" w:cs="Arial"/>
                    </w:rPr>
                  </w:pPr>
                  <w:r w:rsidRPr="000D1170">
                    <w:rPr>
                      <w:rFonts w:ascii="Arial" w:hAnsi="Arial" w:cs="Arial"/>
                    </w:rPr>
                    <w:t>If a training program provides a particular course, then alternative or additional similar courses will not usually be funded</w:t>
                  </w:r>
                  <w:r w:rsidR="00C85255" w:rsidRPr="000D1170">
                    <w:rPr>
                      <w:rFonts w:ascii="Arial" w:hAnsi="Arial" w:cs="Arial"/>
                    </w:rPr>
                    <w:t xml:space="preserve"> unless there are extenuating circumstances</w:t>
                  </w:r>
                  <w:r w:rsidR="002E5CF6" w:rsidRPr="000D1170">
                    <w:rPr>
                      <w:rFonts w:ascii="Arial" w:hAnsi="Arial" w:cs="Arial"/>
                    </w:rPr>
                    <w:t>.</w:t>
                  </w:r>
                  <w:r w:rsidR="002E5CF6">
                    <w:rPr>
                      <w:rFonts w:ascii="Arial" w:hAnsi="Arial" w:cs="Arial"/>
                    </w:rPr>
                    <w:t xml:space="preserve">  </w:t>
                  </w:r>
                </w:p>
                <w:p w14:paraId="0544181E" w14:textId="77777777" w:rsidR="00EF4271" w:rsidRDefault="00EF4271" w:rsidP="00BC3515">
                  <w:pPr>
                    <w:jc w:val="both"/>
                    <w:rPr>
                      <w:rFonts w:ascii="Arial" w:hAnsi="Arial" w:cs="Arial"/>
                    </w:rPr>
                  </w:pPr>
                </w:p>
                <w:p w14:paraId="040683B5" w14:textId="2D168056" w:rsidR="00BC3515" w:rsidRDefault="00065645" w:rsidP="00BC3515">
                  <w:pPr>
                    <w:jc w:val="both"/>
                    <w:rPr>
                      <w:rFonts w:ascii="Arial" w:hAnsi="Arial" w:cs="Arial"/>
                    </w:rPr>
                  </w:pPr>
                  <w:r>
                    <w:rPr>
                      <w:rFonts w:ascii="Arial" w:hAnsi="Arial" w:cs="Arial"/>
                    </w:rPr>
                    <w:t xml:space="preserve"> </w:t>
                  </w:r>
                  <w:r w:rsidR="00EF4271">
                    <w:rPr>
                      <w:rFonts w:ascii="Arial" w:hAnsi="Arial" w:cs="Arial"/>
                    </w:rPr>
                    <w:t xml:space="preserve">Postgraduate Doctors are encouraged to utilise Early Bird registrations to maximise their study leave budget.  </w:t>
                  </w:r>
                </w:p>
                <w:p w14:paraId="08F75674" w14:textId="77777777" w:rsidR="00D43D35" w:rsidRPr="00065645" w:rsidRDefault="00D43D35" w:rsidP="00BC3515">
                  <w:pPr>
                    <w:jc w:val="both"/>
                    <w:rPr>
                      <w:rFonts w:ascii="Arial" w:hAnsi="Arial" w:cs="Arial"/>
                    </w:rPr>
                  </w:pPr>
                </w:p>
              </w:tc>
            </w:tr>
            <w:tr w:rsidR="00BC3515" w:rsidRPr="00BC3515" w14:paraId="6211A253" w14:textId="77777777" w:rsidTr="004818B4">
              <w:tc>
                <w:tcPr>
                  <w:tcW w:w="936" w:type="dxa"/>
                  <w:tcBorders>
                    <w:top w:val="nil"/>
                    <w:left w:val="nil"/>
                    <w:bottom w:val="nil"/>
                    <w:right w:val="nil"/>
                  </w:tcBorders>
                </w:tcPr>
                <w:p w14:paraId="39EC5110" w14:textId="4835023F" w:rsidR="00BC3515" w:rsidRPr="00854B30" w:rsidRDefault="00BC3515" w:rsidP="000B585B">
                  <w:pPr>
                    <w:jc w:val="right"/>
                    <w:rPr>
                      <w:rFonts w:ascii="Arial" w:hAnsi="Arial" w:cs="Arial"/>
                      <w:b/>
                    </w:rPr>
                  </w:pPr>
                  <w:r w:rsidRPr="00854B30">
                    <w:rPr>
                      <w:rFonts w:ascii="Arial" w:hAnsi="Arial" w:cs="Arial"/>
                      <w:b/>
                    </w:rPr>
                    <w:t>4.</w:t>
                  </w:r>
                  <w:r w:rsidR="00EF4271">
                    <w:rPr>
                      <w:rFonts w:ascii="Arial" w:hAnsi="Arial" w:cs="Arial"/>
                      <w:b/>
                    </w:rPr>
                    <w:t>10</w:t>
                  </w:r>
                </w:p>
              </w:tc>
              <w:tc>
                <w:tcPr>
                  <w:tcW w:w="7569" w:type="dxa"/>
                  <w:tcBorders>
                    <w:top w:val="nil"/>
                    <w:left w:val="nil"/>
                    <w:bottom w:val="nil"/>
                    <w:right w:val="nil"/>
                  </w:tcBorders>
                </w:tcPr>
                <w:p w14:paraId="39EEB139" w14:textId="77777777" w:rsidR="00BC3515" w:rsidRDefault="00BC3515" w:rsidP="00BC3515">
                  <w:pPr>
                    <w:jc w:val="both"/>
                    <w:rPr>
                      <w:rFonts w:ascii="Arial" w:hAnsi="Arial" w:cs="Arial"/>
                    </w:rPr>
                  </w:pPr>
                  <w:r w:rsidRPr="00BC3515">
                    <w:rPr>
                      <w:rFonts w:ascii="Arial" w:hAnsi="Arial" w:cs="Arial"/>
                    </w:rPr>
                    <w:t xml:space="preserve">The TPD will review </w:t>
                  </w:r>
                  <w:r w:rsidR="00C85255">
                    <w:rPr>
                      <w:rFonts w:ascii="Arial" w:hAnsi="Arial" w:cs="Arial"/>
                    </w:rPr>
                    <w:t xml:space="preserve">and decide upon </w:t>
                  </w:r>
                  <w:r w:rsidRPr="00BC3515">
                    <w:rPr>
                      <w:rFonts w:ascii="Arial" w:hAnsi="Arial" w:cs="Arial"/>
                    </w:rPr>
                    <w:t xml:space="preserve">the most appropriate course, </w:t>
                  </w:r>
                  <w:proofErr w:type="gramStart"/>
                  <w:r w:rsidRPr="00BC3515">
                    <w:rPr>
                      <w:rFonts w:ascii="Arial" w:hAnsi="Arial" w:cs="Arial"/>
                    </w:rPr>
                    <w:t>taking into account</w:t>
                  </w:r>
                  <w:proofErr w:type="gramEnd"/>
                  <w:r w:rsidRPr="00BC3515">
                    <w:rPr>
                      <w:rFonts w:ascii="Arial" w:hAnsi="Arial" w:cs="Arial"/>
                    </w:rPr>
                    <w:t xml:space="preserve"> quality and cost.</w:t>
                  </w:r>
                </w:p>
                <w:p w14:paraId="1511AC74" w14:textId="77777777" w:rsidR="00D43D35" w:rsidRPr="00BC3515" w:rsidRDefault="00D43D35" w:rsidP="00BC3515">
                  <w:pPr>
                    <w:jc w:val="both"/>
                    <w:rPr>
                      <w:rFonts w:ascii="Arial" w:hAnsi="Arial" w:cs="Arial"/>
                    </w:rPr>
                  </w:pPr>
                </w:p>
              </w:tc>
            </w:tr>
            <w:tr w:rsidR="00BC3515" w:rsidRPr="00BC3515" w14:paraId="5B1E5DFA" w14:textId="77777777" w:rsidTr="004818B4">
              <w:tc>
                <w:tcPr>
                  <w:tcW w:w="936" w:type="dxa"/>
                  <w:tcBorders>
                    <w:top w:val="nil"/>
                    <w:left w:val="nil"/>
                    <w:bottom w:val="nil"/>
                    <w:right w:val="nil"/>
                  </w:tcBorders>
                </w:tcPr>
                <w:p w14:paraId="598D2F3B" w14:textId="125EF05E" w:rsidR="00BC3515" w:rsidRPr="00854B30" w:rsidRDefault="00BC3515" w:rsidP="000B585B">
                  <w:pPr>
                    <w:jc w:val="right"/>
                    <w:rPr>
                      <w:rFonts w:ascii="Arial" w:hAnsi="Arial" w:cs="Arial"/>
                      <w:b/>
                    </w:rPr>
                  </w:pPr>
                  <w:r w:rsidRPr="00854B30">
                    <w:rPr>
                      <w:rFonts w:ascii="Arial" w:hAnsi="Arial" w:cs="Arial"/>
                      <w:b/>
                    </w:rPr>
                    <w:t>4.</w:t>
                  </w:r>
                  <w:r w:rsidR="005D1C25">
                    <w:rPr>
                      <w:rFonts w:ascii="Arial" w:hAnsi="Arial" w:cs="Arial"/>
                      <w:b/>
                    </w:rPr>
                    <w:t>1</w:t>
                  </w:r>
                  <w:r w:rsidR="00EF4271">
                    <w:rPr>
                      <w:rFonts w:ascii="Arial" w:hAnsi="Arial" w:cs="Arial"/>
                      <w:b/>
                    </w:rPr>
                    <w:t>1</w:t>
                  </w:r>
                </w:p>
              </w:tc>
              <w:tc>
                <w:tcPr>
                  <w:tcW w:w="7569" w:type="dxa"/>
                  <w:tcBorders>
                    <w:top w:val="nil"/>
                    <w:left w:val="nil"/>
                    <w:bottom w:val="nil"/>
                    <w:right w:val="nil"/>
                  </w:tcBorders>
                </w:tcPr>
                <w:p w14:paraId="1859C58D" w14:textId="30F69568" w:rsidR="00BC3515" w:rsidRDefault="00BC3515" w:rsidP="00BC3515">
                  <w:pPr>
                    <w:jc w:val="both"/>
                    <w:rPr>
                      <w:rFonts w:ascii="Arial" w:hAnsi="Arial" w:cs="Arial"/>
                    </w:rPr>
                  </w:pPr>
                  <w:r w:rsidRPr="00BC3515">
                    <w:rPr>
                      <w:rFonts w:ascii="Arial" w:hAnsi="Arial" w:cs="Arial"/>
                    </w:rPr>
                    <w:t>The Study Leave budget year runs from 1</w:t>
                  </w:r>
                  <w:r w:rsidR="00D43D35">
                    <w:rPr>
                      <w:rFonts w:ascii="Arial" w:hAnsi="Arial" w:cs="Arial"/>
                      <w:vertAlign w:val="superscript"/>
                    </w:rPr>
                    <w:t>st</w:t>
                  </w:r>
                  <w:r w:rsidRPr="00BC3515">
                    <w:rPr>
                      <w:rFonts w:ascii="Arial" w:hAnsi="Arial" w:cs="Arial"/>
                    </w:rPr>
                    <w:t xml:space="preserve"> March – 28/29 February. The Study Leave year runs from </w:t>
                  </w:r>
                  <w:r w:rsidR="00665609">
                    <w:rPr>
                      <w:rFonts w:ascii="Arial" w:hAnsi="Arial" w:cs="Arial"/>
                    </w:rPr>
                    <w:t>Aug - Aug</w:t>
                  </w:r>
                  <w:r w:rsidRPr="00BC3515">
                    <w:rPr>
                      <w:rFonts w:ascii="Arial" w:hAnsi="Arial" w:cs="Arial"/>
                    </w:rPr>
                    <w:t>. The time will be taken from the leave year in which the 1</w:t>
                  </w:r>
                  <w:r w:rsidRPr="00BC3515">
                    <w:rPr>
                      <w:rFonts w:ascii="Arial" w:hAnsi="Arial" w:cs="Arial"/>
                      <w:vertAlign w:val="superscript"/>
                    </w:rPr>
                    <w:t>st</w:t>
                  </w:r>
                  <w:r w:rsidRPr="00BC3515">
                    <w:rPr>
                      <w:rFonts w:ascii="Arial" w:hAnsi="Arial" w:cs="Arial"/>
                    </w:rPr>
                    <w:t xml:space="preserve"> day of the Study Leave falls, and not from the year in which it was applied for.</w:t>
                  </w:r>
                </w:p>
                <w:p w14:paraId="46FC60E7" w14:textId="77777777" w:rsidR="00D43D35" w:rsidRPr="00BC3515" w:rsidRDefault="00D43D35" w:rsidP="00BC3515">
                  <w:pPr>
                    <w:jc w:val="both"/>
                    <w:rPr>
                      <w:rFonts w:ascii="Arial" w:hAnsi="Arial" w:cs="Arial"/>
                    </w:rPr>
                  </w:pPr>
                </w:p>
              </w:tc>
            </w:tr>
            <w:tr w:rsidR="00BC3515" w:rsidRPr="00BC3515" w14:paraId="68CED5B5" w14:textId="77777777" w:rsidTr="004818B4">
              <w:tc>
                <w:tcPr>
                  <w:tcW w:w="936" w:type="dxa"/>
                  <w:tcBorders>
                    <w:top w:val="nil"/>
                    <w:left w:val="nil"/>
                    <w:bottom w:val="nil"/>
                    <w:right w:val="nil"/>
                  </w:tcBorders>
                </w:tcPr>
                <w:p w14:paraId="3708146A" w14:textId="02BDB1CD" w:rsidR="00BC3515" w:rsidRPr="00854B30" w:rsidRDefault="00BC3515" w:rsidP="000B585B">
                  <w:pPr>
                    <w:jc w:val="right"/>
                    <w:rPr>
                      <w:rFonts w:ascii="Arial" w:hAnsi="Arial" w:cs="Arial"/>
                      <w:b/>
                    </w:rPr>
                  </w:pPr>
                  <w:r w:rsidRPr="00854B30">
                    <w:rPr>
                      <w:rFonts w:ascii="Arial" w:hAnsi="Arial" w:cs="Arial"/>
                      <w:b/>
                    </w:rPr>
                    <w:t>4.1</w:t>
                  </w:r>
                  <w:r w:rsidR="00EF4271">
                    <w:rPr>
                      <w:rFonts w:ascii="Arial" w:hAnsi="Arial" w:cs="Arial"/>
                      <w:b/>
                    </w:rPr>
                    <w:t>2</w:t>
                  </w:r>
                </w:p>
              </w:tc>
              <w:tc>
                <w:tcPr>
                  <w:tcW w:w="7569" w:type="dxa"/>
                  <w:tcBorders>
                    <w:top w:val="nil"/>
                    <w:left w:val="nil"/>
                    <w:bottom w:val="nil"/>
                    <w:right w:val="nil"/>
                  </w:tcBorders>
                </w:tcPr>
                <w:p w14:paraId="1FEA2916" w14:textId="77777777" w:rsidR="007C5D6C" w:rsidRDefault="00BC3515" w:rsidP="00BC3515">
                  <w:pPr>
                    <w:jc w:val="both"/>
                    <w:rPr>
                      <w:rFonts w:ascii="Arial" w:hAnsi="Arial" w:cs="Arial"/>
                      <w:b/>
                      <w:bCs/>
                    </w:rPr>
                  </w:pPr>
                  <w:r w:rsidRPr="00BC3515">
                    <w:rPr>
                      <w:rFonts w:ascii="Arial" w:hAnsi="Arial" w:cs="Arial"/>
                    </w:rPr>
                    <w:t xml:space="preserve">Educational activities considered for Study Leave may include the payment of a course/conference fees, in which situation the </w:t>
                  </w:r>
                  <w:r w:rsidR="005C298F">
                    <w:rPr>
                      <w:rFonts w:ascii="Arial" w:hAnsi="Arial" w:cs="Arial"/>
                    </w:rPr>
                    <w:t xml:space="preserve">Postgraduate Doctor </w:t>
                  </w:r>
                  <w:r w:rsidRPr="00BC3515">
                    <w:rPr>
                      <w:rFonts w:ascii="Arial" w:hAnsi="Arial" w:cs="Arial"/>
                    </w:rPr>
                    <w:t xml:space="preserve">can request a contribution or in some cases the whole fee. </w:t>
                  </w:r>
                  <w:r w:rsidRPr="000D1170">
                    <w:rPr>
                      <w:rFonts w:ascii="Arial" w:hAnsi="Arial" w:cs="Arial"/>
                      <w:b/>
                      <w:bCs/>
                    </w:rPr>
                    <w:t xml:space="preserve">The degree of support provided will depend on the presence </w:t>
                  </w:r>
                  <w:r w:rsidR="00872E4A" w:rsidRPr="000D1170">
                    <w:rPr>
                      <w:rFonts w:ascii="Arial" w:hAnsi="Arial" w:cs="Arial"/>
                      <w:b/>
                      <w:bCs/>
                    </w:rPr>
                    <w:t>o</w:t>
                  </w:r>
                  <w:r w:rsidRPr="000D1170">
                    <w:rPr>
                      <w:rFonts w:ascii="Arial" w:hAnsi="Arial" w:cs="Arial"/>
                      <w:b/>
                      <w:bCs/>
                    </w:rPr>
                    <w:t>f an individual learning plan with clear objectives and as assessment of how the educational activity aids attainment of these objectives.</w:t>
                  </w:r>
                  <w:r w:rsidR="00872E4A">
                    <w:rPr>
                      <w:rFonts w:ascii="Arial" w:hAnsi="Arial" w:cs="Arial"/>
                    </w:rPr>
                    <w:t xml:space="preserve">  </w:t>
                  </w:r>
                  <w:r w:rsidR="00872E4A" w:rsidRPr="000D1170">
                    <w:rPr>
                      <w:rFonts w:ascii="Arial" w:hAnsi="Arial" w:cs="Arial"/>
                      <w:b/>
                      <w:bCs/>
                    </w:rPr>
                    <w:t>The Postgraduate Doctor is expected to include details of this in application</w:t>
                  </w:r>
                  <w:r w:rsidR="00E85BBF" w:rsidRPr="000D1170">
                    <w:rPr>
                      <w:rFonts w:ascii="Arial" w:hAnsi="Arial" w:cs="Arial"/>
                      <w:b/>
                      <w:bCs/>
                    </w:rPr>
                    <w:t xml:space="preserve"> and absence of this may lead to application being rejected</w:t>
                  </w:r>
                  <w:r w:rsidR="00872E4A" w:rsidRPr="000D1170">
                    <w:rPr>
                      <w:rFonts w:ascii="Arial" w:hAnsi="Arial" w:cs="Arial"/>
                      <w:b/>
                      <w:bCs/>
                    </w:rPr>
                    <w:t xml:space="preserve">. </w:t>
                  </w:r>
                </w:p>
                <w:p w14:paraId="573DB1E0" w14:textId="77777777" w:rsidR="007C5D6C" w:rsidRDefault="007C5D6C" w:rsidP="00BC3515">
                  <w:pPr>
                    <w:jc w:val="both"/>
                    <w:rPr>
                      <w:rFonts w:ascii="Arial" w:hAnsi="Arial" w:cs="Arial"/>
                      <w:b/>
                      <w:bCs/>
                    </w:rPr>
                  </w:pPr>
                </w:p>
                <w:p w14:paraId="4C04031E" w14:textId="7536ED62" w:rsidR="00BC3515" w:rsidRPr="000D1170" w:rsidRDefault="00872E4A" w:rsidP="00BC3515">
                  <w:pPr>
                    <w:jc w:val="both"/>
                    <w:rPr>
                      <w:rFonts w:ascii="Arial" w:hAnsi="Arial" w:cs="Arial"/>
                      <w:b/>
                      <w:bCs/>
                    </w:rPr>
                  </w:pPr>
                  <w:r w:rsidRPr="000D1170">
                    <w:rPr>
                      <w:rFonts w:ascii="Arial" w:hAnsi="Arial" w:cs="Arial"/>
                      <w:b/>
                      <w:bCs/>
                    </w:rPr>
                    <w:t xml:space="preserve"> </w:t>
                  </w:r>
                </w:p>
                <w:p w14:paraId="50F88338" w14:textId="77777777" w:rsidR="00D43D35" w:rsidRPr="00BC3515" w:rsidRDefault="00D43D35" w:rsidP="00BC3515">
                  <w:pPr>
                    <w:jc w:val="both"/>
                    <w:rPr>
                      <w:rFonts w:ascii="Arial" w:hAnsi="Arial" w:cs="Arial"/>
                    </w:rPr>
                  </w:pPr>
                </w:p>
              </w:tc>
            </w:tr>
            <w:tr w:rsidR="00BC3515" w:rsidRPr="00BC3515" w14:paraId="1923AA04" w14:textId="77777777" w:rsidTr="004818B4">
              <w:tc>
                <w:tcPr>
                  <w:tcW w:w="936" w:type="dxa"/>
                  <w:tcBorders>
                    <w:top w:val="nil"/>
                    <w:left w:val="nil"/>
                    <w:bottom w:val="nil"/>
                    <w:right w:val="nil"/>
                  </w:tcBorders>
                </w:tcPr>
                <w:p w14:paraId="61E95CD7" w14:textId="77777777" w:rsidR="00BC3515" w:rsidRPr="00BC3515" w:rsidRDefault="00BC3515" w:rsidP="00BC3515">
                  <w:pPr>
                    <w:jc w:val="both"/>
                    <w:rPr>
                      <w:rFonts w:ascii="Arial" w:hAnsi="Arial" w:cs="Arial"/>
                      <w:b/>
                    </w:rPr>
                  </w:pPr>
                  <w:r>
                    <w:rPr>
                      <w:rFonts w:ascii="Arial" w:hAnsi="Arial" w:cs="Arial"/>
                      <w:b/>
                    </w:rPr>
                    <w:lastRenderedPageBreak/>
                    <w:t>5</w:t>
                  </w:r>
                </w:p>
              </w:tc>
              <w:tc>
                <w:tcPr>
                  <w:tcW w:w="7569" w:type="dxa"/>
                  <w:tcBorders>
                    <w:top w:val="nil"/>
                    <w:left w:val="nil"/>
                    <w:bottom w:val="nil"/>
                    <w:right w:val="nil"/>
                  </w:tcBorders>
                </w:tcPr>
                <w:p w14:paraId="509B8703" w14:textId="77777777" w:rsidR="00854B30" w:rsidRPr="00127A3C" w:rsidRDefault="00D92817" w:rsidP="00D92817">
                  <w:pPr>
                    <w:jc w:val="both"/>
                    <w:rPr>
                      <w:rFonts w:ascii="Arial" w:hAnsi="Arial" w:cs="Arial"/>
                      <w:b/>
                      <w:u w:val="single"/>
                    </w:rPr>
                  </w:pPr>
                  <w:r w:rsidRPr="00127A3C">
                    <w:rPr>
                      <w:rFonts w:ascii="Arial" w:hAnsi="Arial" w:cs="Arial"/>
                      <w:b/>
                      <w:u w:val="single"/>
                    </w:rPr>
                    <w:t>International Study Leave</w:t>
                  </w:r>
                </w:p>
                <w:p w14:paraId="79974EEF" w14:textId="77777777" w:rsidR="00B65790" w:rsidRPr="00127A3C" w:rsidRDefault="00B65790" w:rsidP="00D92817">
                  <w:pPr>
                    <w:jc w:val="both"/>
                    <w:rPr>
                      <w:rFonts w:ascii="Arial" w:hAnsi="Arial" w:cs="Arial"/>
                      <w:b/>
                      <w:u w:val="single"/>
                    </w:rPr>
                  </w:pPr>
                </w:p>
                <w:p w14:paraId="3CBC26A7" w14:textId="77777777" w:rsidR="00D43D35" w:rsidRPr="00127A3C" w:rsidRDefault="00D43D35" w:rsidP="00D92817">
                  <w:pPr>
                    <w:jc w:val="both"/>
                    <w:rPr>
                      <w:rFonts w:ascii="Arial" w:hAnsi="Arial" w:cs="Arial"/>
                      <w:b/>
                      <w:u w:val="single"/>
                    </w:rPr>
                  </w:pPr>
                </w:p>
              </w:tc>
            </w:tr>
            <w:tr w:rsidR="00BC3515" w:rsidRPr="00BC3515" w14:paraId="55F0A846" w14:textId="77777777" w:rsidTr="004818B4">
              <w:tc>
                <w:tcPr>
                  <w:tcW w:w="936" w:type="dxa"/>
                  <w:tcBorders>
                    <w:top w:val="nil"/>
                    <w:left w:val="nil"/>
                    <w:bottom w:val="nil"/>
                    <w:right w:val="nil"/>
                  </w:tcBorders>
                </w:tcPr>
                <w:p w14:paraId="083E0AA9" w14:textId="77777777" w:rsidR="004818B4" w:rsidRDefault="004818B4" w:rsidP="00E05045">
                  <w:pPr>
                    <w:pStyle w:val="ListParagraph"/>
                    <w:numPr>
                      <w:ilvl w:val="1"/>
                      <w:numId w:val="6"/>
                    </w:numPr>
                    <w:jc w:val="both"/>
                    <w:rPr>
                      <w:rFonts w:ascii="Arial" w:hAnsi="Arial" w:cs="Arial"/>
                    </w:rPr>
                  </w:pPr>
                </w:p>
                <w:p w14:paraId="4F2BB981" w14:textId="77777777" w:rsidR="004818B4" w:rsidRPr="004818B4" w:rsidRDefault="004818B4" w:rsidP="004818B4"/>
                <w:p w14:paraId="5B7867F9" w14:textId="77777777" w:rsidR="004818B4" w:rsidRDefault="004818B4" w:rsidP="004818B4"/>
                <w:p w14:paraId="35399AB1" w14:textId="77777777" w:rsidR="004818B4" w:rsidRDefault="004818B4" w:rsidP="004818B4"/>
                <w:p w14:paraId="7DF04CF7" w14:textId="77777777" w:rsidR="004818B4" w:rsidRDefault="004818B4" w:rsidP="004818B4"/>
                <w:p w14:paraId="06C5A9AD" w14:textId="77777777" w:rsidR="004818B4" w:rsidRDefault="004818B4" w:rsidP="004818B4">
                  <w:pPr>
                    <w:rPr>
                      <w:rFonts w:ascii="Arial" w:hAnsi="Arial" w:cs="Arial"/>
                      <w:b/>
                    </w:rPr>
                  </w:pPr>
                  <w:r>
                    <w:t xml:space="preserve">      </w:t>
                  </w:r>
                </w:p>
                <w:p w14:paraId="680B14C2" w14:textId="77777777" w:rsidR="004818B4" w:rsidRPr="004818B4" w:rsidRDefault="004818B4" w:rsidP="004818B4">
                  <w:pPr>
                    <w:rPr>
                      <w:rFonts w:ascii="Arial" w:hAnsi="Arial" w:cs="Arial"/>
                    </w:rPr>
                  </w:pPr>
                </w:p>
                <w:p w14:paraId="0C283830" w14:textId="77777777" w:rsidR="004818B4" w:rsidRDefault="004818B4" w:rsidP="004818B4">
                  <w:pPr>
                    <w:rPr>
                      <w:rFonts w:ascii="Arial" w:hAnsi="Arial" w:cs="Arial"/>
                    </w:rPr>
                  </w:pPr>
                </w:p>
                <w:p w14:paraId="7E003784" w14:textId="77777777" w:rsidR="004818B4" w:rsidRPr="004818B4" w:rsidRDefault="004818B4" w:rsidP="004818B4">
                  <w:pPr>
                    <w:rPr>
                      <w:rFonts w:ascii="Arial" w:hAnsi="Arial" w:cs="Arial"/>
                      <w:b/>
                    </w:rPr>
                  </w:pPr>
                  <w:r>
                    <w:rPr>
                      <w:rFonts w:ascii="Arial" w:hAnsi="Arial" w:cs="Arial"/>
                    </w:rPr>
                    <w:t xml:space="preserve">     </w:t>
                  </w:r>
                </w:p>
                <w:p w14:paraId="695EB7FD" w14:textId="77777777" w:rsidR="004818B4" w:rsidRPr="00D92817" w:rsidRDefault="004818B4" w:rsidP="004818B4">
                  <w:pPr>
                    <w:rPr>
                      <w:rFonts w:ascii="Arial" w:hAnsi="Arial" w:cs="Arial"/>
                      <w:color w:val="FF0000"/>
                    </w:rPr>
                  </w:pPr>
                </w:p>
                <w:p w14:paraId="71C55A9F" w14:textId="77777777" w:rsidR="004818B4" w:rsidRPr="004818B4" w:rsidRDefault="004818B4" w:rsidP="004818B4">
                  <w:pPr>
                    <w:rPr>
                      <w:rFonts w:ascii="Arial" w:hAnsi="Arial" w:cs="Arial"/>
                      <w:b/>
                    </w:rPr>
                  </w:pPr>
                  <w:r>
                    <w:rPr>
                      <w:rFonts w:ascii="Arial" w:hAnsi="Arial" w:cs="Arial"/>
                    </w:rPr>
                    <w:t xml:space="preserve">              </w:t>
                  </w:r>
                </w:p>
              </w:tc>
              <w:tc>
                <w:tcPr>
                  <w:tcW w:w="7569" w:type="dxa"/>
                  <w:tcBorders>
                    <w:top w:val="nil"/>
                    <w:left w:val="nil"/>
                    <w:bottom w:val="nil"/>
                    <w:right w:val="nil"/>
                  </w:tcBorders>
                </w:tcPr>
                <w:p w14:paraId="3B326D50" w14:textId="77777777" w:rsidR="00D92817" w:rsidRPr="00127A3C" w:rsidRDefault="00D92817" w:rsidP="004818B4">
                  <w:pPr>
                    <w:jc w:val="both"/>
                    <w:rPr>
                      <w:rFonts w:ascii="Arial" w:hAnsi="Arial" w:cs="Arial"/>
                    </w:rPr>
                  </w:pPr>
                  <w:r w:rsidRPr="00127A3C">
                    <w:rPr>
                      <w:rFonts w:ascii="Arial" w:hAnsi="Arial" w:cs="Arial"/>
                    </w:rPr>
                    <w:t>Requests to attend international study courses/conferences will only be considered in very exceptional circumstances, including:</w:t>
                  </w:r>
                </w:p>
                <w:p w14:paraId="1898711A" w14:textId="77777777" w:rsidR="00FF3873" w:rsidRPr="00127A3C" w:rsidRDefault="00FF3873" w:rsidP="004818B4">
                  <w:pPr>
                    <w:jc w:val="both"/>
                    <w:rPr>
                      <w:rFonts w:ascii="Arial" w:hAnsi="Arial" w:cs="Arial"/>
                    </w:rPr>
                  </w:pPr>
                </w:p>
                <w:p w14:paraId="2B37C086" w14:textId="77777777" w:rsidR="00D92817" w:rsidRPr="00127A3C" w:rsidRDefault="00D92817" w:rsidP="00B65790">
                  <w:pPr>
                    <w:pStyle w:val="ListParagraph"/>
                    <w:numPr>
                      <w:ilvl w:val="0"/>
                      <w:numId w:val="11"/>
                    </w:numPr>
                    <w:jc w:val="both"/>
                    <w:rPr>
                      <w:rFonts w:ascii="Arial" w:hAnsi="Arial" w:cs="Arial"/>
                    </w:rPr>
                  </w:pPr>
                  <w:r w:rsidRPr="00127A3C">
                    <w:rPr>
                      <w:rFonts w:ascii="Arial" w:hAnsi="Arial" w:cs="Arial"/>
                    </w:rPr>
                    <w:t>The presentation of specific research findings from within a NIHR recognised academic clinical fellowship or clinical lectureship</w:t>
                  </w:r>
                </w:p>
                <w:p w14:paraId="14E19280" w14:textId="77777777" w:rsidR="00D92817" w:rsidRPr="00127A3C" w:rsidRDefault="00D92817" w:rsidP="00B65790">
                  <w:pPr>
                    <w:pStyle w:val="ListParagraph"/>
                    <w:numPr>
                      <w:ilvl w:val="0"/>
                      <w:numId w:val="11"/>
                    </w:numPr>
                    <w:jc w:val="both"/>
                    <w:rPr>
                      <w:rFonts w:ascii="Arial" w:hAnsi="Arial" w:cs="Arial"/>
                    </w:rPr>
                  </w:pPr>
                  <w:r w:rsidRPr="00127A3C">
                    <w:rPr>
                      <w:rFonts w:ascii="Arial" w:hAnsi="Arial" w:cs="Arial"/>
                    </w:rPr>
                    <w:t>For the presentation of research undertaken as</w:t>
                  </w:r>
                  <w:r w:rsidR="00B65790" w:rsidRPr="00127A3C">
                    <w:rPr>
                      <w:rFonts w:ascii="Arial" w:hAnsi="Arial" w:cs="Arial"/>
                    </w:rPr>
                    <w:t xml:space="preserve"> </w:t>
                  </w:r>
                  <w:r w:rsidRPr="00127A3C">
                    <w:rPr>
                      <w:rFonts w:ascii="Arial" w:hAnsi="Arial" w:cs="Arial"/>
                    </w:rPr>
                    <w:t>part of a clinical training programme where the training course is not available in the UK</w:t>
                  </w:r>
                </w:p>
                <w:p w14:paraId="2CBDE65C" w14:textId="77777777" w:rsidR="00D92817" w:rsidRDefault="00D92817" w:rsidP="00B65790">
                  <w:pPr>
                    <w:pStyle w:val="ListParagraph"/>
                    <w:numPr>
                      <w:ilvl w:val="0"/>
                      <w:numId w:val="11"/>
                    </w:numPr>
                    <w:jc w:val="both"/>
                    <w:rPr>
                      <w:rFonts w:ascii="Arial" w:hAnsi="Arial" w:cs="Arial"/>
                    </w:rPr>
                  </w:pPr>
                  <w:r w:rsidRPr="00127A3C">
                    <w:rPr>
                      <w:rFonts w:ascii="Arial" w:hAnsi="Arial" w:cs="Arial"/>
                    </w:rPr>
                    <w:t>Where the course or activity is part of the College curriculum or guidelines on required training.</w:t>
                  </w:r>
                </w:p>
                <w:p w14:paraId="0C3B1132" w14:textId="77777777" w:rsidR="00127A3C" w:rsidRPr="0042196C" w:rsidRDefault="00127A3C" w:rsidP="00B65790">
                  <w:pPr>
                    <w:pStyle w:val="ListParagraph"/>
                    <w:numPr>
                      <w:ilvl w:val="0"/>
                      <w:numId w:val="11"/>
                    </w:numPr>
                    <w:jc w:val="both"/>
                    <w:rPr>
                      <w:rFonts w:ascii="Arial" w:hAnsi="Arial" w:cs="Arial"/>
                    </w:rPr>
                  </w:pPr>
                  <w:r w:rsidRPr="0042196C">
                    <w:rPr>
                      <w:rFonts w:ascii="Arial" w:hAnsi="Arial" w:cs="Arial"/>
                    </w:rPr>
                    <w:t>Where the training course is not available in the UK, and where the course or activity is set out as a mandatory requirement of college training to reach the required standard to practise.</w:t>
                  </w:r>
                </w:p>
                <w:p w14:paraId="510F605D" w14:textId="77777777" w:rsidR="004818B4" w:rsidRPr="00127A3C" w:rsidRDefault="004818B4" w:rsidP="004818B4">
                  <w:pPr>
                    <w:jc w:val="both"/>
                    <w:rPr>
                      <w:rFonts w:ascii="Arial" w:hAnsi="Arial" w:cs="Arial"/>
                    </w:rPr>
                  </w:pPr>
                </w:p>
              </w:tc>
            </w:tr>
            <w:tr w:rsidR="000B585B" w:rsidRPr="00BC3515" w14:paraId="2ABF05AF" w14:textId="77777777" w:rsidTr="004818B4">
              <w:tc>
                <w:tcPr>
                  <w:tcW w:w="936" w:type="dxa"/>
                  <w:tcBorders>
                    <w:top w:val="nil"/>
                    <w:left w:val="nil"/>
                    <w:bottom w:val="nil"/>
                    <w:right w:val="nil"/>
                  </w:tcBorders>
                </w:tcPr>
                <w:p w14:paraId="0C747321" w14:textId="77777777" w:rsidR="000B585B" w:rsidRDefault="000B585B" w:rsidP="00E05045">
                  <w:pPr>
                    <w:pStyle w:val="ListParagraph"/>
                    <w:numPr>
                      <w:ilvl w:val="1"/>
                      <w:numId w:val="6"/>
                    </w:numPr>
                    <w:jc w:val="both"/>
                    <w:rPr>
                      <w:rFonts w:ascii="Arial" w:hAnsi="Arial" w:cs="Arial"/>
                    </w:rPr>
                  </w:pPr>
                </w:p>
              </w:tc>
              <w:tc>
                <w:tcPr>
                  <w:tcW w:w="7569" w:type="dxa"/>
                  <w:tcBorders>
                    <w:top w:val="nil"/>
                    <w:left w:val="nil"/>
                    <w:bottom w:val="nil"/>
                    <w:right w:val="nil"/>
                  </w:tcBorders>
                </w:tcPr>
                <w:p w14:paraId="6A716977" w14:textId="6EE104CD" w:rsidR="000B585B" w:rsidRPr="00127A3C" w:rsidRDefault="000B585B" w:rsidP="000B585B">
                  <w:pPr>
                    <w:jc w:val="both"/>
                    <w:rPr>
                      <w:rFonts w:ascii="Arial" w:hAnsi="Arial" w:cs="Arial"/>
                    </w:rPr>
                  </w:pPr>
                  <w:r w:rsidRPr="00127A3C">
                    <w:rPr>
                      <w:rFonts w:ascii="Arial" w:hAnsi="Arial" w:cs="Arial"/>
                    </w:rPr>
                    <w:t xml:space="preserve">Applications for international study leave where the </w:t>
                  </w:r>
                  <w:r w:rsidR="005C298F">
                    <w:rPr>
                      <w:rFonts w:ascii="Arial" w:hAnsi="Arial" w:cs="Arial"/>
                    </w:rPr>
                    <w:t xml:space="preserve">Postgraduate Doctor </w:t>
                  </w:r>
                  <w:r w:rsidRPr="00127A3C">
                    <w:rPr>
                      <w:rFonts w:ascii="Arial" w:hAnsi="Arial" w:cs="Arial"/>
                    </w:rPr>
                    <w:t>will be presenting should take priority.</w:t>
                  </w:r>
                </w:p>
                <w:p w14:paraId="1BE7E814" w14:textId="77777777" w:rsidR="000B585B" w:rsidRDefault="000B585B" w:rsidP="004818B4">
                  <w:pPr>
                    <w:jc w:val="both"/>
                    <w:rPr>
                      <w:rFonts w:ascii="Arial" w:hAnsi="Arial" w:cs="Arial"/>
                      <w:color w:val="FF0000"/>
                    </w:rPr>
                  </w:pPr>
                </w:p>
              </w:tc>
            </w:tr>
            <w:tr w:rsidR="000B585B" w:rsidRPr="00BC3515" w14:paraId="2B9F2990" w14:textId="77777777" w:rsidTr="004818B4">
              <w:tc>
                <w:tcPr>
                  <w:tcW w:w="936" w:type="dxa"/>
                  <w:tcBorders>
                    <w:top w:val="nil"/>
                    <w:left w:val="nil"/>
                    <w:bottom w:val="nil"/>
                    <w:right w:val="nil"/>
                  </w:tcBorders>
                </w:tcPr>
                <w:p w14:paraId="7D49C9CF" w14:textId="77777777" w:rsidR="000B585B" w:rsidRDefault="000B585B" w:rsidP="00E05045">
                  <w:pPr>
                    <w:pStyle w:val="ListParagraph"/>
                    <w:numPr>
                      <w:ilvl w:val="1"/>
                      <w:numId w:val="6"/>
                    </w:numPr>
                    <w:jc w:val="both"/>
                    <w:rPr>
                      <w:rFonts w:ascii="Arial" w:hAnsi="Arial" w:cs="Arial"/>
                    </w:rPr>
                  </w:pPr>
                </w:p>
              </w:tc>
              <w:tc>
                <w:tcPr>
                  <w:tcW w:w="7569" w:type="dxa"/>
                  <w:tcBorders>
                    <w:top w:val="nil"/>
                    <w:left w:val="nil"/>
                    <w:bottom w:val="nil"/>
                    <w:right w:val="nil"/>
                  </w:tcBorders>
                </w:tcPr>
                <w:p w14:paraId="12D01618" w14:textId="6ECA436E" w:rsidR="000B585B" w:rsidRDefault="000B585B" w:rsidP="000B585B">
                  <w:pPr>
                    <w:jc w:val="both"/>
                    <w:rPr>
                      <w:rFonts w:ascii="Arial" w:hAnsi="Arial" w:cs="Arial"/>
                      <w:color w:val="FF0000"/>
                    </w:rPr>
                  </w:pPr>
                  <w:r w:rsidRPr="00127A3C">
                    <w:rPr>
                      <w:rFonts w:ascii="Arial" w:hAnsi="Arial" w:cs="Arial"/>
                    </w:rPr>
                    <w:t>The course/conference must provide a clearly stated curriculum outcome and there must be a documented discussion with the ES as to how it meets curriculum requirements.</w:t>
                  </w:r>
                  <w:r w:rsidR="00127A3C" w:rsidRPr="00127A3C">
                    <w:rPr>
                      <w:rFonts w:ascii="Arial" w:hAnsi="Arial" w:cs="Arial"/>
                    </w:rPr>
                    <w:t xml:space="preserve"> </w:t>
                  </w:r>
                  <w:r w:rsidR="00127A3C" w:rsidRPr="0042196C">
                    <w:rPr>
                      <w:rFonts w:ascii="Arial" w:hAnsi="Arial" w:cs="Arial"/>
                    </w:rPr>
                    <w:t>A full programme should be provided.</w:t>
                  </w:r>
                </w:p>
                <w:p w14:paraId="53EC4EFD" w14:textId="77777777" w:rsidR="000B585B" w:rsidRDefault="000B585B" w:rsidP="004818B4">
                  <w:pPr>
                    <w:jc w:val="both"/>
                    <w:rPr>
                      <w:rFonts w:ascii="Arial" w:hAnsi="Arial" w:cs="Arial"/>
                      <w:color w:val="FF0000"/>
                    </w:rPr>
                  </w:pPr>
                </w:p>
              </w:tc>
            </w:tr>
            <w:tr w:rsidR="000B585B" w:rsidRPr="00BC3515" w14:paraId="4F26174E" w14:textId="77777777" w:rsidTr="004818B4">
              <w:tc>
                <w:tcPr>
                  <w:tcW w:w="936" w:type="dxa"/>
                  <w:tcBorders>
                    <w:top w:val="nil"/>
                    <w:left w:val="nil"/>
                    <w:bottom w:val="nil"/>
                    <w:right w:val="nil"/>
                  </w:tcBorders>
                </w:tcPr>
                <w:p w14:paraId="140A3123" w14:textId="77777777" w:rsidR="000B585B" w:rsidRDefault="000B585B" w:rsidP="00E05045">
                  <w:pPr>
                    <w:pStyle w:val="ListParagraph"/>
                    <w:numPr>
                      <w:ilvl w:val="1"/>
                      <w:numId w:val="6"/>
                    </w:numPr>
                    <w:jc w:val="both"/>
                    <w:rPr>
                      <w:rFonts w:ascii="Arial" w:hAnsi="Arial" w:cs="Arial"/>
                    </w:rPr>
                  </w:pPr>
                </w:p>
              </w:tc>
              <w:tc>
                <w:tcPr>
                  <w:tcW w:w="7569" w:type="dxa"/>
                  <w:tcBorders>
                    <w:top w:val="nil"/>
                    <w:left w:val="nil"/>
                    <w:bottom w:val="nil"/>
                    <w:right w:val="nil"/>
                  </w:tcBorders>
                </w:tcPr>
                <w:p w14:paraId="660BCB8D" w14:textId="77777777" w:rsidR="000B585B" w:rsidRPr="00127A3C" w:rsidRDefault="000B585B" w:rsidP="000B585B">
                  <w:pPr>
                    <w:jc w:val="both"/>
                    <w:rPr>
                      <w:rFonts w:ascii="Arial" w:hAnsi="Arial" w:cs="Arial"/>
                    </w:rPr>
                  </w:pPr>
                  <w:r w:rsidRPr="00127A3C">
                    <w:rPr>
                      <w:rFonts w:ascii="Arial" w:hAnsi="Arial" w:cs="Arial"/>
                    </w:rPr>
                    <w:t>One international meeting, providing all the other curriculum requirements are met, will be considered</w:t>
                  </w:r>
                  <w:r w:rsidR="00127A3C" w:rsidRPr="00127A3C">
                    <w:rPr>
                      <w:rFonts w:ascii="Arial" w:hAnsi="Arial" w:cs="Arial"/>
                    </w:rPr>
                    <w:t xml:space="preserve"> during core training.</w:t>
                  </w:r>
                </w:p>
                <w:p w14:paraId="6D8CD722" w14:textId="77777777" w:rsidR="000B585B" w:rsidRPr="00127A3C" w:rsidRDefault="000B585B" w:rsidP="004818B4">
                  <w:pPr>
                    <w:jc w:val="both"/>
                    <w:rPr>
                      <w:rFonts w:ascii="Arial" w:hAnsi="Arial" w:cs="Arial"/>
                    </w:rPr>
                  </w:pPr>
                </w:p>
              </w:tc>
            </w:tr>
            <w:tr w:rsidR="000B585B" w:rsidRPr="00BC3515" w14:paraId="69BDFDEB" w14:textId="77777777" w:rsidTr="004818B4">
              <w:tc>
                <w:tcPr>
                  <w:tcW w:w="936" w:type="dxa"/>
                  <w:tcBorders>
                    <w:top w:val="nil"/>
                    <w:left w:val="nil"/>
                    <w:bottom w:val="nil"/>
                    <w:right w:val="nil"/>
                  </w:tcBorders>
                </w:tcPr>
                <w:p w14:paraId="0358F12B" w14:textId="77777777" w:rsidR="000B585B" w:rsidRDefault="000B585B" w:rsidP="00E05045">
                  <w:pPr>
                    <w:pStyle w:val="ListParagraph"/>
                    <w:numPr>
                      <w:ilvl w:val="1"/>
                      <w:numId w:val="6"/>
                    </w:numPr>
                    <w:jc w:val="both"/>
                    <w:rPr>
                      <w:rFonts w:ascii="Arial" w:hAnsi="Arial" w:cs="Arial"/>
                    </w:rPr>
                  </w:pPr>
                </w:p>
              </w:tc>
              <w:tc>
                <w:tcPr>
                  <w:tcW w:w="7569" w:type="dxa"/>
                  <w:tcBorders>
                    <w:top w:val="nil"/>
                    <w:left w:val="nil"/>
                    <w:bottom w:val="nil"/>
                    <w:right w:val="nil"/>
                  </w:tcBorders>
                </w:tcPr>
                <w:p w14:paraId="0628AC55" w14:textId="77777777" w:rsidR="000B585B" w:rsidRPr="00127A3C" w:rsidRDefault="000B585B" w:rsidP="000B585B">
                  <w:pPr>
                    <w:jc w:val="both"/>
                    <w:rPr>
                      <w:rFonts w:ascii="Arial" w:hAnsi="Arial" w:cs="Arial"/>
                    </w:rPr>
                  </w:pPr>
                  <w:r w:rsidRPr="00127A3C">
                    <w:rPr>
                      <w:rFonts w:ascii="Arial" w:hAnsi="Arial" w:cs="Arial"/>
                    </w:rPr>
                    <w:t>If attending an international event is evidenced to be cheaper than a UK alternative/equivalent, then the international opportunity can be approved and will not count as the one international meeting approved.</w:t>
                  </w:r>
                </w:p>
                <w:p w14:paraId="6167E4B6" w14:textId="77777777" w:rsidR="000B585B" w:rsidRPr="00127A3C" w:rsidRDefault="000B585B" w:rsidP="004818B4">
                  <w:pPr>
                    <w:jc w:val="both"/>
                    <w:rPr>
                      <w:rFonts w:ascii="Arial" w:hAnsi="Arial" w:cs="Arial"/>
                    </w:rPr>
                  </w:pPr>
                </w:p>
              </w:tc>
            </w:tr>
            <w:tr w:rsidR="000B585B" w:rsidRPr="00BC3515" w14:paraId="443FF0CB" w14:textId="77777777" w:rsidTr="004818B4">
              <w:tc>
                <w:tcPr>
                  <w:tcW w:w="936" w:type="dxa"/>
                  <w:tcBorders>
                    <w:top w:val="nil"/>
                    <w:left w:val="nil"/>
                    <w:bottom w:val="nil"/>
                    <w:right w:val="nil"/>
                  </w:tcBorders>
                </w:tcPr>
                <w:p w14:paraId="38C31E7A" w14:textId="77777777" w:rsidR="000B585B" w:rsidRDefault="000B585B" w:rsidP="00E05045">
                  <w:pPr>
                    <w:pStyle w:val="ListParagraph"/>
                    <w:numPr>
                      <w:ilvl w:val="1"/>
                      <w:numId w:val="6"/>
                    </w:numPr>
                    <w:jc w:val="both"/>
                    <w:rPr>
                      <w:rFonts w:ascii="Arial" w:hAnsi="Arial" w:cs="Arial"/>
                    </w:rPr>
                  </w:pPr>
                </w:p>
              </w:tc>
              <w:tc>
                <w:tcPr>
                  <w:tcW w:w="7569" w:type="dxa"/>
                  <w:tcBorders>
                    <w:top w:val="nil"/>
                    <w:left w:val="nil"/>
                    <w:bottom w:val="nil"/>
                    <w:right w:val="nil"/>
                  </w:tcBorders>
                </w:tcPr>
                <w:p w14:paraId="3074FCB2" w14:textId="77777777" w:rsidR="000B585B" w:rsidRPr="00127A3C" w:rsidRDefault="000B585B" w:rsidP="000B585B">
                  <w:pPr>
                    <w:jc w:val="both"/>
                    <w:rPr>
                      <w:rFonts w:ascii="Arial" w:hAnsi="Arial" w:cs="Arial"/>
                    </w:rPr>
                  </w:pPr>
                  <w:r w:rsidRPr="00127A3C">
                    <w:rPr>
                      <w:rFonts w:ascii="Arial" w:hAnsi="Arial" w:cs="Arial"/>
                    </w:rPr>
                    <w:t>International study leave could occur when the learning outcomes from the course/conference are not available in the UK. Locations as close to the trainee’s base as possible should be expected.</w:t>
                  </w:r>
                </w:p>
                <w:p w14:paraId="130F125B" w14:textId="77777777" w:rsidR="000B585B" w:rsidRPr="00127A3C" w:rsidRDefault="000B585B" w:rsidP="004818B4">
                  <w:pPr>
                    <w:jc w:val="both"/>
                    <w:rPr>
                      <w:rFonts w:ascii="Arial" w:hAnsi="Arial" w:cs="Arial"/>
                    </w:rPr>
                  </w:pPr>
                </w:p>
              </w:tc>
            </w:tr>
            <w:tr w:rsidR="000B585B" w:rsidRPr="00BC3515" w14:paraId="3A302689" w14:textId="77777777" w:rsidTr="004818B4">
              <w:tc>
                <w:tcPr>
                  <w:tcW w:w="936" w:type="dxa"/>
                  <w:tcBorders>
                    <w:top w:val="nil"/>
                    <w:left w:val="nil"/>
                    <w:bottom w:val="nil"/>
                    <w:right w:val="nil"/>
                  </w:tcBorders>
                </w:tcPr>
                <w:p w14:paraId="64057D60" w14:textId="77777777" w:rsidR="000B585B" w:rsidRDefault="000B585B" w:rsidP="00E05045">
                  <w:pPr>
                    <w:pStyle w:val="ListParagraph"/>
                    <w:numPr>
                      <w:ilvl w:val="1"/>
                      <w:numId w:val="6"/>
                    </w:numPr>
                    <w:jc w:val="both"/>
                    <w:rPr>
                      <w:rFonts w:ascii="Arial" w:hAnsi="Arial" w:cs="Arial"/>
                    </w:rPr>
                  </w:pPr>
                </w:p>
              </w:tc>
              <w:tc>
                <w:tcPr>
                  <w:tcW w:w="7569" w:type="dxa"/>
                  <w:tcBorders>
                    <w:top w:val="nil"/>
                    <w:left w:val="nil"/>
                    <w:bottom w:val="nil"/>
                    <w:right w:val="nil"/>
                  </w:tcBorders>
                </w:tcPr>
                <w:p w14:paraId="41A7BFB7" w14:textId="2061D208" w:rsidR="000B585B" w:rsidRPr="00127A3C" w:rsidRDefault="00F161C5" w:rsidP="000B585B">
                  <w:pPr>
                    <w:jc w:val="both"/>
                    <w:rPr>
                      <w:rFonts w:ascii="Arial" w:hAnsi="Arial" w:cs="Arial"/>
                    </w:rPr>
                  </w:pPr>
                  <w:r>
                    <w:rPr>
                      <w:rFonts w:ascii="Arial" w:hAnsi="Arial" w:cs="Arial"/>
                    </w:rPr>
                    <w:t>NHSE</w:t>
                  </w:r>
                  <w:r w:rsidR="000B585B" w:rsidRPr="00127A3C">
                    <w:rPr>
                      <w:rFonts w:ascii="Arial" w:hAnsi="Arial" w:cs="Arial"/>
                    </w:rPr>
                    <w:t xml:space="preserve"> will consider funding EITHER the full cost of the course/</w:t>
                  </w:r>
                  <w:proofErr w:type="gramStart"/>
                  <w:r w:rsidR="000B585B" w:rsidRPr="00127A3C">
                    <w:rPr>
                      <w:rFonts w:ascii="Arial" w:hAnsi="Arial" w:cs="Arial"/>
                    </w:rPr>
                    <w:t>conference</w:t>
                  </w:r>
                  <w:proofErr w:type="gramEnd"/>
                </w:p>
                <w:p w14:paraId="5B72A246" w14:textId="77777777" w:rsidR="000B585B" w:rsidRPr="00127A3C" w:rsidRDefault="000B585B" w:rsidP="000B585B">
                  <w:pPr>
                    <w:jc w:val="both"/>
                    <w:rPr>
                      <w:rFonts w:ascii="Arial" w:hAnsi="Arial" w:cs="Arial"/>
                    </w:rPr>
                  </w:pPr>
                  <w:r w:rsidRPr="00127A3C">
                    <w:rPr>
                      <w:rFonts w:ascii="Arial" w:hAnsi="Arial" w:cs="Arial"/>
                    </w:rPr>
                    <w:t xml:space="preserve">OR the full cost of economy travel and accommodation, whichever is the lower amount. </w:t>
                  </w:r>
                </w:p>
                <w:p w14:paraId="57C84C9E" w14:textId="77777777" w:rsidR="000B585B" w:rsidRPr="00127A3C" w:rsidRDefault="000B585B" w:rsidP="004818B4">
                  <w:pPr>
                    <w:jc w:val="both"/>
                    <w:rPr>
                      <w:rFonts w:ascii="Arial" w:hAnsi="Arial" w:cs="Arial"/>
                    </w:rPr>
                  </w:pPr>
                </w:p>
              </w:tc>
            </w:tr>
            <w:tr w:rsidR="000B585B" w:rsidRPr="00BC3515" w14:paraId="6193A2BC" w14:textId="77777777" w:rsidTr="004818B4">
              <w:tc>
                <w:tcPr>
                  <w:tcW w:w="936" w:type="dxa"/>
                  <w:tcBorders>
                    <w:top w:val="nil"/>
                    <w:left w:val="nil"/>
                    <w:bottom w:val="nil"/>
                    <w:right w:val="nil"/>
                  </w:tcBorders>
                </w:tcPr>
                <w:p w14:paraId="64432724" w14:textId="77777777" w:rsidR="000B585B" w:rsidRDefault="000B585B" w:rsidP="00E05045">
                  <w:pPr>
                    <w:pStyle w:val="ListParagraph"/>
                    <w:numPr>
                      <w:ilvl w:val="1"/>
                      <w:numId w:val="6"/>
                    </w:numPr>
                    <w:jc w:val="both"/>
                    <w:rPr>
                      <w:rFonts w:ascii="Arial" w:hAnsi="Arial" w:cs="Arial"/>
                    </w:rPr>
                  </w:pPr>
                </w:p>
              </w:tc>
              <w:tc>
                <w:tcPr>
                  <w:tcW w:w="7569" w:type="dxa"/>
                  <w:tcBorders>
                    <w:top w:val="nil"/>
                    <w:left w:val="nil"/>
                    <w:bottom w:val="nil"/>
                    <w:right w:val="nil"/>
                  </w:tcBorders>
                </w:tcPr>
                <w:p w14:paraId="7F4173F4" w14:textId="069A368C" w:rsidR="000B585B" w:rsidRPr="00127A3C" w:rsidRDefault="000B585B" w:rsidP="000B585B">
                  <w:pPr>
                    <w:jc w:val="both"/>
                    <w:rPr>
                      <w:rFonts w:ascii="Arial" w:hAnsi="Arial" w:cs="Arial"/>
                    </w:rPr>
                  </w:pPr>
                  <w:r w:rsidRPr="00127A3C">
                    <w:rPr>
                      <w:rFonts w:ascii="Arial" w:hAnsi="Arial" w:cs="Arial"/>
                    </w:rPr>
                    <w:t>Overnight accommodation rate should not exceed £1</w:t>
                  </w:r>
                  <w:r w:rsidR="00AC70B4">
                    <w:rPr>
                      <w:rFonts w:ascii="Arial" w:hAnsi="Arial" w:cs="Arial"/>
                    </w:rPr>
                    <w:t>2</w:t>
                  </w:r>
                  <w:r w:rsidRPr="00127A3C">
                    <w:rPr>
                      <w:rFonts w:ascii="Arial" w:hAnsi="Arial" w:cs="Arial"/>
                    </w:rPr>
                    <w:t>0 per night in line with the agreed maximum rate for study budget claims.</w:t>
                  </w:r>
                </w:p>
                <w:p w14:paraId="0D0A5CB7" w14:textId="77777777" w:rsidR="000B585B" w:rsidRPr="00127A3C" w:rsidRDefault="000B585B" w:rsidP="004818B4">
                  <w:pPr>
                    <w:jc w:val="both"/>
                    <w:rPr>
                      <w:rFonts w:ascii="Arial" w:hAnsi="Arial" w:cs="Arial"/>
                    </w:rPr>
                  </w:pPr>
                </w:p>
              </w:tc>
            </w:tr>
            <w:tr w:rsidR="000B585B" w:rsidRPr="00BC3515" w14:paraId="773BC4C2" w14:textId="77777777" w:rsidTr="004818B4">
              <w:tc>
                <w:tcPr>
                  <w:tcW w:w="936" w:type="dxa"/>
                  <w:tcBorders>
                    <w:top w:val="nil"/>
                    <w:left w:val="nil"/>
                    <w:bottom w:val="nil"/>
                    <w:right w:val="nil"/>
                  </w:tcBorders>
                </w:tcPr>
                <w:p w14:paraId="77D6E05C" w14:textId="77777777" w:rsidR="000B585B" w:rsidRDefault="000B585B" w:rsidP="00E05045">
                  <w:pPr>
                    <w:pStyle w:val="ListParagraph"/>
                    <w:numPr>
                      <w:ilvl w:val="1"/>
                      <w:numId w:val="6"/>
                    </w:numPr>
                    <w:jc w:val="both"/>
                    <w:rPr>
                      <w:rFonts w:ascii="Arial" w:hAnsi="Arial" w:cs="Arial"/>
                    </w:rPr>
                  </w:pPr>
                </w:p>
              </w:tc>
              <w:tc>
                <w:tcPr>
                  <w:tcW w:w="7569" w:type="dxa"/>
                  <w:tcBorders>
                    <w:top w:val="nil"/>
                    <w:left w:val="nil"/>
                    <w:bottom w:val="nil"/>
                    <w:right w:val="nil"/>
                  </w:tcBorders>
                </w:tcPr>
                <w:p w14:paraId="096A1001" w14:textId="158787DD" w:rsidR="000B585B" w:rsidRPr="00127A3C" w:rsidRDefault="000B585B" w:rsidP="000B585B">
                  <w:pPr>
                    <w:jc w:val="both"/>
                    <w:rPr>
                      <w:rFonts w:ascii="Arial" w:hAnsi="Arial" w:cs="Arial"/>
                    </w:rPr>
                  </w:pPr>
                  <w:r w:rsidRPr="00127A3C">
                    <w:rPr>
                      <w:rFonts w:ascii="Arial" w:hAnsi="Arial" w:cs="Arial"/>
                    </w:rPr>
                    <w:t xml:space="preserve">Subsistence expenses will not normally be reimbursed by </w:t>
                  </w:r>
                  <w:r w:rsidR="00237D42">
                    <w:rPr>
                      <w:rFonts w:ascii="Arial" w:hAnsi="Arial" w:cs="Arial"/>
                    </w:rPr>
                    <w:t>NHSE</w:t>
                  </w:r>
                  <w:r w:rsidRPr="00127A3C">
                    <w:rPr>
                      <w:rFonts w:ascii="Arial" w:hAnsi="Arial" w:cs="Arial"/>
                    </w:rPr>
                    <w:t>.</w:t>
                  </w:r>
                </w:p>
                <w:p w14:paraId="44F49D1A" w14:textId="77777777" w:rsidR="000B585B" w:rsidRPr="00127A3C" w:rsidRDefault="000B585B" w:rsidP="004818B4">
                  <w:pPr>
                    <w:jc w:val="both"/>
                    <w:rPr>
                      <w:rFonts w:ascii="Arial" w:hAnsi="Arial" w:cs="Arial"/>
                    </w:rPr>
                  </w:pPr>
                </w:p>
              </w:tc>
            </w:tr>
            <w:tr w:rsidR="000B585B" w:rsidRPr="00BC3515" w14:paraId="421710D8" w14:textId="77777777" w:rsidTr="004818B4">
              <w:tc>
                <w:tcPr>
                  <w:tcW w:w="936" w:type="dxa"/>
                  <w:tcBorders>
                    <w:top w:val="nil"/>
                    <w:left w:val="nil"/>
                    <w:bottom w:val="nil"/>
                    <w:right w:val="nil"/>
                  </w:tcBorders>
                </w:tcPr>
                <w:p w14:paraId="4AF85045" w14:textId="77777777" w:rsidR="000B585B" w:rsidRDefault="000B585B" w:rsidP="00E05045">
                  <w:pPr>
                    <w:pStyle w:val="ListParagraph"/>
                    <w:numPr>
                      <w:ilvl w:val="1"/>
                      <w:numId w:val="6"/>
                    </w:numPr>
                    <w:jc w:val="both"/>
                    <w:rPr>
                      <w:rFonts w:ascii="Arial" w:hAnsi="Arial" w:cs="Arial"/>
                    </w:rPr>
                  </w:pPr>
                </w:p>
              </w:tc>
              <w:tc>
                <w:tcPr>
                  <w:tcW w:w="7569" w:type="dxa"/>
                  <w:tcBorders>
                    <w:top w:val="nil"/>
                    <w:left w:val="nil"/>
                    <w:bottom w:val="nil"/>
                    <w:right w:val="nil"/>
                  </w:tcBorders>
                </w:tcPr>
                <w:p w14:paraId="332C4268" w14:textId="21634152" w:rsidR="000B585B" w:rsidRPr="00127A3C" w:rsidRDefault="000B585B" w:rsidP="000B585B">
                  <w:pPr>
                    <w:jc w:val="both"/>
                    <w:rPr>
                      <w:rFonts w:ascii="Arial" w:hAnsi="Arial" w:cs="Arial"/>
                    </w:rPr>
                  </w:pPr>
                  <w:r w:rsidRPr="00127A3C">
                    <w:rPr>
                      <w:rFonts w:ascii="Arial" w:hAnsi="Arial" w:cs="Arial"/>
                    </w:rPr>
                    <w:t xml:space="preserve">If a </w:t>
                  </w:r>
                  <w:r w:rsidR="005C298F">
                    <w:rPr>
                      <w:rFonts w:ascii="Arial" w:hAnsi="Arial" w:cs="Arial"/>
                    </w:rPr>
                    <w:t xml:space="preserve">Postgraduate Doctor </w:t>
                  </w:r>
                  <w:r w:rsidRPr="00127A3C">
                    <w:rPr>
                      <w:rFonts w:ascii="Arial" w:hAnsi="Arial" w:cs="Arial"/>
                    </w:rPr>
                    <w:t>wishes to fund a period of international study leave by other means, this can be considered for approval of time only, as long as the activity aligns to the individual PDP.</w:t>
                  </w:r>
                </w:p>
                <w:p w14:paraId="43FC535E" w14:textId="77777777" w:rsidR="000B585B" w:rsidRPr="00127A3C" w:rsidRDefault="000B585B" w:rsidP="004818B4">
                  <w:pPr>
                    <w:jc w:val="both"/>
                    <w:rPr>
                      <w:rFonts w:ascii="Arial" w:hAnsi="Arial" w:cs="Arial"/>
                    </w:rPr>
                  </w:pPr>
                </w:p>
              </w:tc>
            </w:tr>
            <w:tr w:rsidR="000B585B" w:rsidRPr="00BC3515" w14:paraId="5608E1FD" w14:textId="77777777" w:rsidTr="004818B4">
              <w:tc>
                <w:tcPr>
                  <w:tcW w:w="936" w:type="dxa"/>
                  <w:tcBorders>
                    <w:top w:val="nil"/>
                    <w:left w:val="nil"/>
                    <w:bottom w:val="nil"/>
                    <w:right w:val="nil"/>
                  </w:tcBorders>
                </w:tcPr>
                <w:p w14:paraId="09EE0431" w14:textId="77777777" w:rsidR="000B585B" w:rsidRDefault="000B585B" w:rsidP="00E05045">
                  <w:pPr>
                    <w:pStyle w:val="ListParagraph"/>
                    <w:numPr>
                      <w:ilvl w:val="1"/>
                      <w:numId w:val="6"/>
                    </w:numPr>
                    <w:jc w:val="both"/>
                    <w:rPr>
                      <w:rFonts w:ascii="Arial" w:hAnsi="Arial" w:cs="Arial"/>
                    </w:rPr>
                  </w:pPr>
                </w:p>
              </w:tc>
              <w:tc>
                <w:tcPr>
                  <w:tcW w:w="7569" w:type="dxa"/>
                  <w:tcBorders>
                    <w:top w:val="nil"/>
                    <w:left w:val="nil"/>
                    <w:bottom w:val="nil"/>
                    <w:right w:val="nil"/>
                  </w:tcBorders>
                </w:tcPr>
                <w:p w14:paraId="0B23777D" w14:textId="29FC6254" w:rsidR="000B585B" w:rsidRPr="0042196C" w:rsidRDefault="000B585B" w:rsidP="000B585B">
                  <w:pPr>
                    <w:jc w:val="both"/>
                    <w:rPr>
                      <w:rFonts w:ascii="Arial" w:hAnsi="Arial" w:cs="Arial"/>
                    </w:rPr>
                  </w:pPr>
                  <w:r w:rsidRPr="0042196C">
                    <w:rPr>
                      <w:rFonts w:ascii="Arial" w:hAnsi="Arial" w:cs="Arial"/>
                    </w:rPr>
                    <w:t xml:space="preserve">Any working days spent travelling to or from such an event would be required by the </w:t>
                  </w:r>
                  <w:r w:rsidR="005C298F" w:rsidRPr="0042196C">
                    <w:rPr>
                      <w:rFonts w:ascii="Arial" w:hAnsi="Arial" w:cs="Arial"/>
                    </w:rPr>
                    <w:t xml:space="preserve">Postgraduate Doctor </w:t>
                  </w:r>
                  <w:r w:rsidRPr="0042196C">
                    <w:rPr>
                      <w:rFonts w:ascii="Arial" w:hAnsi="Arial" w:cs="Arial"/>
                    </w:rPr>
                    <w:t>to be taken as annual leave.</w:t>
                  </w:r>
                </w:p>
                <w:p w14:paraId="6AABA5EA" w14:textId="77777777" w:rsidR="000B585B" w:rsidRPr="00127A3C" w:rsidRDefault="000B585B" w:rsidP="004818B4">
                  <w:pPr>
                    <w:jc w:val="both"/>
                    <w:rPr>
                      <w:rFonts w:ascii="Arial" w:hAnsi="Arial" w:cs="Arial"/>
                      <w:color w:val="FF0000"/>
                    </w:rPr>
                  </w:pPr>
                </w:p>
              </w:tc>
            </w:tr>
            <w:tr w:rsidR="000B585B" w:rsidRPr="00BC3515" w14:paraId="4D29161D" w14:textId="77777777" w:rsidTr="004818B4">
              <w:tc>
                <w:tcPr>
                  <w:tcW w:w="936" w:type="dxa"/>
                  <w:tcBorders>
                    <w:top w:val="nil"/>
                    <w:left w:val="nil"/>
                    <w:bottom w:val="nil"/>
                    <w:right w:val="nil"/>
                  </w:tcBorders>
                </w:tcPr>
                <w:p w14:paraId="2DD29AE7" w14:textId="77777777" w:rsidR="000B585B" w:rsidRDefault="000B585B" w:rsidP="00E05045">
                  <w:pPr>
                    <w:pStyle w:val="ListParagraph"/>
                    <w:numPr>
                      <w:ilvl w:val="1"/>
                      <w:numId w:val="6"/>
                    </w:numPr>
                    <w:jc w:val="both"/>
                    <w:rPr>
                      <w:rFonts w:ascii="Arial" w:hAnsi="Arial" w:cs="Arial"/>
                    </w:rPr>
                  </w:pPr>
                </w:p>
              </w:tc>
              <w:tc>
                <w:tcPr>
                  <w:tcW w:w="7569" w:type="dxa"/>
                  <w:tcBorders>
                    <w:top w:val="nil"/>
                    <w:left w:val="nil"/>
                    <w:bottom w:val="nil"/>
                    <w:right w:val="nil"/>
                  </w:tcBorders>
                </w:tcPr>
                <w:p w14:paraId="038D4A4B" w14:textId="77777777" w:rsidR="00127A3C" w:rsidRDefault="00127A3C" w:rsidP="00127A3C">
                  <w:pPr>
                    <w:jc w:val="both"/>
                    <w:rPr>
                      <w:rFonts w:ascii="Arial" w:hAnsi="Arial" w:cs="Arial"/>
                    </w:rPr>
                  </w:pPr>
                  <w:r w:rsidRPr="00BC3515">
                    <w:rPr>
                      <w:rFonts w:ascii="Arial" w:hAnsi="Arial" w:cs="Arial"/>
                    </w:rPr>
                    <w:t xml:space="preserve">The final decision for support for overseas events rests with the relevant Associate Dean, on </w:t>
                  </w:r>
                  <w:r>
                    <w:rPr>
                      <w:rFonts w:ascii="Arial" w:hAnsi="Arial" w:cs="Arial"/>
                    </w:rPr>
                    <w:t>behalf of the Postgraduate Dean.</w:t>
                  </w:r>
                </w:p>
                <w:p w14:paraId="7A2199F1" w14:textId="77777777" w:rsidR="007C5D6C" w:rsidRDefault="007C5D6C" w:rsidP="00127A3C">
                  <w:pPr>
                    <w:jc w:val="both"/>
                    <w:rPr>
                      <w:rFonts w:ascii="Arial" w:hAnsi="Arial" w:cs="Arial"/>
                    </w:rPr>
                  </w:pPr>
                </w:p>
                <w:p w14:paraId="5E67BF77" w14:textId="77777777" w:rsidR="000B585B" w:rsidRDefault="000B585B" w:rsidP="00127A3C">
                  <w:pPr>
                    <w:jc w:val="both"/>
                    <w:rPr>
                      <w:rFonts w:ascii="Arial" w:hAnsi="Arial" w:cs="Arial"/>
                      <w:color w:val="FF0000"/>
                    </w:rPr>
                  </w:pPr>
                </w:p>
              </w:tc>
            </w:tr>
            <w:tr w:rsidR="00BC3515" w:rsidRPr="00BC3515" w14:paraId="064EBB53" w14:textId="77777777" w:rsidTr="004818B4">
              <w:tc>
                <w:tcPr>
                  <w:tcW w:w="936" w:type="dxa"/>
                  <w:tcBorders>
                    <w:top w:val="nil"/>
                    <w:left w:val="nil"/>
                    <w:bottom w:val="nil"/>
                    <w:right w:val="nil"/>
                  </w:tcBorders>
                </w:tcPr>
                <w:p w14:paraId="3C42473A" w14:textId="77777777" w:rsidR="00BC3515" w:rsidRPr="00BC3515" w:rsidRDefault="00BC3515" w:rsidP="00E05045">
                  <w:pPr>
                    <w:pStyle w:val="ListParagraph"/>
                    <w:numPr>
                      <w:ilvl w:val="0"/>
                      <w:numId w:val="6"/>
                    </w:numPr>
                    <w:jc w:val="both"/>
                    <w:rPr>
                      <w:rFonts w:ascii="Arial" w:hAnsi="Arial" w:cs="Arial"/>
                      <w:b/>
                      <w:u w:val="single"/>
                    </w:rPr>
                  </w:pPr>
                </w:p>
              </w:tc>
              <w:tc>
                <w:tcPr>
                  <w:tcW w:w="7569" w:type="dxa"/>
                  <w:tcBorders>
                    <w:top w:val="nil"/>
                    <w:left w:val="nil"/>
                    <w:bottom w:val="nil"/>
                    <w:right w:val="nil"/>
                  </w:tcBorders>
                </w:tcPr>
                <w:p w14:paraId="2DDBCDF3" w14:textId="77777777" w:rsidR="00854B30" w:rsidRDefault="00BC3515" w:rsidP="00431B64">
                  <w:pPr>
                    <w:jc w:val="both"/>
                    <w:rPr>
                      <w:rFonts w:ascii="Arial" w:hAnsi="Arial" w:cs="Arial"/>
                      <w:b/>
                      <w:u w:val="single"/>
                    </w:rPr>
                  </w:pPr>
                  <w:r w:rsidRPr="00BC3515">
                    <w:rPr>
                      <w:rFonts w:ascii="Arial" w:hAnsi="Arial" w:cs="Arial"/>
                      <w:b/>
                      <w:u w:val="single"/>
                    </w:rPr>
                    <w:t>Application Proces</w:t>
                  </w:r>
                  <w:r w:rsidR="00431B64">
                    <w:rPr>
                      <w:rFonts w:ascii="Arial" w:hAnsi="Arial" w:cs="Arial"/>
                      <w:b/>
                      <w:u w:val="single"/>
                    </w:rPr>
                    <w:t>s</w:t>
                  </w:r>
                </w:p>
                <w:p w14:paraId="5D0790E6" w14:textId="560F8E88" w:rsidR="00431B64" w:rsidRPr="00BC3515" w:rsidRDefault="00431B64" w:rsidP="00431B64">
                  <w:pPr>
                    <w:jc w:val="both"/>
                    <w:rPr>
                      <w:rFonts w:ascii="Arial" w:hAnsi="Arial" w:cs="Arial"/>
                      <w:b/>
                      <w:u w:val="single"/>
                    </w:rPr>
                  </w:pPr>
                </w:p>
              </w:tc>
            </w:tr>
            <w:tr w:rsidR="00BC3515" w:rsidRPr="00BC3515" w14:paraId="35F8CAD4" w14:textId="77777777" w:rsidTr="004818B4">
              <w:tc>
                <w:tcPr>
                  <w:tcW w:w="936" w:type="dxa"/>
                  <w:tcBorders>
                    <w:top w:val="nil"/>
                    <w:left w:val="nil"/>
                    <w:bottom w:val="nil"/>
                    <w:right w:val="nil"/>
                  </w:tcBorders>
                </w:tcPr>
                <w:p w14:paraId="1575049F" w14:textId="77777777" w:rsidR="00BC3515" w:rsidRPr="00BC3515" w:rsidRDefault="00BC3515" w:rsidP="00E05045">
                  <w:pPr>
                    <w:pStyle w:val="ListParagraph"/>
                    <w:numPr>
                      <w:ilvl w:val="1"/>
                      <w:numId w:val="6"/>
                    </w:numPr>
                    <w:jc w:val="both"/>
                    <w:rPr>
                      <w:rFonts w:ascii="Arial" w:hAnsi="Arial" w:cs="Arial"/>
                    </w:rPr>
                  </w:pPr>
                </w:p>
              </w:tc>
              <w:tc>
                <w:tcPr>
                  <w:tcW w:w="7569" w:type="dxa"/>
                  <w:tcBorders>
                    <w:top w:val="nil"/>
                    <w:left w:val="nil"/>
                    <w:bottom w:val="nil"/>
                    <w:right w:val="nil"/>
                  </w:tcBorders>
                </w:tcPr>
                <w:p w14:paraId="453EF458" w14:textId="6D615B75" w:rsidR="00BC3515" w:rsidRDefault="00BC3515" w:rsidP="00BC3515">
                  <w:pPr>
                    <w:jc w:val="both"/>
                    <w:rPr>
                      <w:rFonts w:ascii="Arial" w:hAnsi="Arial" w:cs="Arial"/>
                    </w:rPr>
                  </w:pPr>
                  <w:r w:rsidRPr="00BC3515">
                    <w:rPr>
                      <w:rFonts w:ascii="Arial" w:hAnsi="Arial" w:cs="Arial"/>
                    </w:rPr>
                    <w:t xml:space="preserve">CT1 &amp; CT2 </w:t>
                  </w:r>
                  <w:r w:rsidR="002F4316">
                    <w:rPr>
                      <w:rFonts w:ascii="Arial" w:hAnsi="Arial" w:cs="Arial"/>
                    </w:rPr>
                    <w:t xml:space="preserve">Postgraduate </w:t>
                  </w:r>
                  <w:r w:rsidR="004A2303">
                    <w:rPr>
                      <w:rFonts w:ascii="Arial" w:hAnsi="Arial" w:cs="Arial"/>
                    </w:rPr>
                    <w:t xml:space="preserve">Doctors </w:t>
                  </w:r>
                  <w:r w:rsidR="004A2303" w:rsidRPr="00BC3515">
                    <w:rPr>
                      <w:rFonts w:ascii="Arial" w:hAnsi="Arial" w:cs="Arial"/>
                    </w:rPr>
                    <w:t>are</w:t>
                  </w:r>
                  <w:r w:rsidRPr="00BC3515">
                    <w:rPr>
                      <w:rFonts w:ascii="Arial" w:hAnsi="Arial" w:cs="Arial"/>
                    </w:rPr>
                    <w:t xml:space="preserve"> not required to submit applications for leave to attend the Local &amp; Regional Teaching Programmes.</w:t>
                  </w:r>
                </w:p>
                <w:p w14:paraId="1B30B0BC" w14:textId="77777777" w:rsidR="00D43D35" w:rsidRPr="00BC3515" w:rsidRDefault="00D43D35" w:rsidP="00BC3515">
                  <w:pPr>
                    <w:jc w:val="both"/>
                    <w:rPr>
                      <w:rFonts w:ascii="Arial" w:hAnsi="Arial" w:cs="Arial"/>
                      <w:u w:val="single"/>
                    </w:rPr>
                  </w:pPr>
                </w:p>
              </w:tc>
            </w:tr>
            <w:tr w:rsidR="00BC3515" w:rsidRPr="00BC3515" w14:paraId="025712FF" w14:textId="77777777" w:rsidTr="004818B4">
              <w:tc>
                <w:tcPr>
                  <w:tcW w:w="936" w:type="dxa"/>
                  <w:tcBorders>
                    <w:top w:val="nil"/>
                    <w:left w:val="nil"/>
                    <w:bottom w:val="nil"/>
                    <w:right w:val="nil"/>
                  </w:tcBorders>
                </w:tcPr>
                <w:p w14:paraId="2489F924" w14:textId="77777777" w:rsidR="00BC3515" w:rsidRPr="00BC3515" w:rsidRDefault="00BC3515" w:rsidP="00E05045">
                  <w:pPr>
                    <w:pStyle w:val="ListParagraph"/>
                    <w:numPr>
                      <w:ilvl w:val="1"/>
                      <w:numId w:val="6"/>
                    </w:numPr>
                    <w:jc w:val="both"/>
                    <w:rPr>
                      <w:rFonts w:ascii="Arial" w:hAnsi="Arial" w:cs="Arial"/>
                    </w:rPr>
                  </w:pPr>
                </w:p>
              </w:tc>
              <w:tc>
                <w:tcPr>
                  <w:tcW w:w="7569" w:type="dxa"/>
                  <w:tcBorders>
                    <w:top w:val="nil"/>
                    <w:left w:val="nil"/>
                    <w:bottom w:val="nil"/>
                    <w:right w:val="nil"/>
                  </w:tcBorders>
                </w:tcPr>
                <w:p w14:paraId="4F932A42" w14:textId="5BC8FA1F" w:rsidR="0042196C" w:rsidRPr="00AC70B4" w:rsidRDefault="004A2303" w:rsidP="00BC3515">
                  <w:pPr>
                    <w:jc w:val="both"/>
                    <w:rPr>
                      <w:rFonts w:ascii="Arial" w:hAnsi="Arial" w:cs="Arial"/>
                    </w:rPr>
                  </w:pPr>
                  <w:r w:rsidRPr="00AC70B4">
                    <w:rPr>
                      <w:rFonts w:ascii="Arial" w:hAnsi="Arial" w:cs="Arial"/>
                    </w:rPr>
                    <w:t xml:space="preserve">Applications for study leave should be made via the Accent system </w:t>
                  </w:r>
                  <w:hyperlink r:id="rId8" w:history="1">
                    <w:r w:rsidRPr="00AC70B4">
                      <w:rPr>
                        <w:rStyle w:val="Hyperlink"/>
                        <w:rFonts w:ascii="Arial" w:hAnsi="Arial" w:cs="Arial"/>
                      </w:rPr>
                      <w:t>https://accent.hicom.co.uk/Portal/Live/Web/</w:t>
                    </w:r>
                  </w:hyperlink>
                  <w:r w:rsidRPr="00AC70B4">
                    <w:rPr>
                      <w:rFonts w:ascii="Arial" w:hAnsi="Arial" w:cs="Arial"/>
                    </w:rPr>
                    <w:t xml:space="preserve"> Applications </w:t>
                  </w:r>
                  <w:r w:rsidR="00BC3515" w:rsidRPr="00AC70B4">
                    <w:rPr>
                      <w:rFonts w:ascii="Arial" w:hAnsi="Arial" w:cs="Arial"/>
                    </w:rPr>
                    <w:t>should be submitted at least 6 weeks in advance of the leave date.</w:t>
                  </w:r>
                </w:p>
                <w:p w14:paraId="74E14D15" w14:textId="77777777" w:rsidR="00D43D35" w:rsidRPr="00AC70B4" w:rsidRDefault="00D43D35" w:rsidP="00BC3515">
                  <w:pPr>
                    <w:jc w:val="both"/>
                    <w:rPr>
                      <w:rFonts w:ascii="Arial" w:hAnsi="Arial" w:cs="Arial"/>
                      <w:u w:val="single"/>
                    </w:rPr>
                  </w:pPr>
                </w:p>
              </w:tc>
            </w:tr>
            <w:tr w:rsidR="00BC3515" w:rsidRPr="00BC3515" w14:paraId="437609CA" w14:textId="77777777" w:rsidTr="004818B4">
              <w:tc>
                <w:tcPr>
                  <w:tcW w:w="936" w:type="dxa"/>
                  <w:tcBorders>
                    <w:top w:val="nil"/>
                    <w:left w:val="nil"/>
                    <w:bottom w:val="nil"/>
                    <w:right w:val="nil"/>
                  </w:tcBorders>
                </w:tcPr>
                <w:p w14:paraId="352A556D" w14:textId="2F639D68" w:rsidR="00BC3515" w:rsidRPr="0042196C" w:rsidRDefault="0042196C" w:rsidP="0042196C">
                  <w:pPr>
                    <w:jc w:val="both"/>
                    <w:rPr>
                      <w:rFonts w:ascii="Arial" w:hAnsi="Arial" w:cs="Arial"/>
                      <w:b/>
                      <w:bCs/>
                    </w:rPr>
                  </w:pPr>
                  <w:r w:rsidRPr="0042196C">
                    <w:rPr>
                      <w:rFonts w:ascii="Arial" w:hAnsi="Arial" w:cs="Arial"/>
                      <w:b/>
                      <w:bCs/>
                    </w:rPr>
                    <w:t xml:space="preserve">      6.3</w:t>
                  </w:r>
                </w:p>
                <w:p w14:paraId="2F769AFD" w14:textId="77777777" w:rsidR="0042196C" w:rsidRPr="0042196C" w:rsidRDefault="0042196C" w:rsidP="0042196C">
                  <w:pPr>
                    <w:jc w:val="both"/>
                    <w:rPr>
                      <w:rFonts w:ascii="Arial" w:hAnsi="Arial" w:cs="Arial"/>
                      <w:b/>
                      <w:bCs/>
                    </w:rPr>
                  </w:pPr>
                </w:p>
                <w:p w14:paraId="0EFE49DA" w14:textId="77777777" w:rsidR="0042196C" w:rsidRPr="0042196C" w:rsidRDefault="0042196C" w:rsidP="0042196C">
                  <w:pPr>
                    <w:jc w:val="both"/>
                    <w:rPr>
                      <w:rFonts w:ascii="Arial" w:hAnsi="Arial" w:cs="Arial"/>
                      <w:b/>
                      <w:bCs/>
                    </w:rPr>
                  </w:pPr>
                </w:p>
                <w:p w14:paraId="30DCBB3E" w14:textId="77777777" w:rsidR="0042196C" w:rsidRPr="0042196C" w:rsidRDefault="0042196C" w:rsidP="0042196C">
                  <w:pPr>
                    <w:jc w:val="both"/>
                    <w:rPr>
                      <w:rFonts w:ascii="Arial" w:hAnsi="Arial" w:cs="Arial"/>
                      <w:b/>
                      <w:bCs/>
                    </w:rPr>
                  </w:pPr>
                </w:p>
                <w:p w14:paraId="6180778F" w14:textId="39BE5B33" w:rsidR="0042196C" w:rsidRPr="0042196C" w:rsidRDefault="0042196C" w:rsidP="0042196C">
                  <w:pPr>
                    <w:jc w:val="both"/>
                    <w:rPr>
                      <w:rFonts w:ascii="Arial" w:hAnsi="Arial" w:cs="Arial"/>
                      <w:b/>
                      <w:bCs/>
                    </w:rPr>
                  </w:pPr>
                  <w:r w:rsidRPr="0042196C">
                    <w:rPr>
                      <w:rFonts w:ascii="Arial" w:hAnsi="Arial" w:cs="Arial"/>
                      <w:b/>
                      <w:bCs/>
                    </w:rPr>
                    <w:t xml:space="preserve">      6.4</w:t>
                  </w:r>
                </w:p>
              </w:tc>
              <w:tc>
                <w:tcPr>
                  <w:tcW w:w="7569" w:type="dxa"/>
                  <w:tcBorders>
                    <w:top w:val="nil"/>
                    <w:left w:val="nil"/>
                    <w:bottom w:val="nil"/>
                    <w:right w:val="nil"/>
                  </w:tcBorders>
                </w:tcPr>
                <w:p w14:paraId="5B4FE517" w14:textId="26E8AEF7" w:rsidR="0042196C" w:rsidRPr="00AC70B4" w:rsidRDefault="0042196C" w:rsidP="00BC3515">
                  <w:pPr>
                    <w:jc w:val="both"/>
                    <w:rPr>
                      <w:rFonts w:ascii="Arial" w:hAnsi="Arial" w:cs="Arial"/>
                      <w:b/>
                      <w:bCs/>
                    </w:rPr>
                  </w:pPr>
                  <w:r w:rsidRPr="00AC70B4">
                    <w:rPr>
                      <w:rFonts w:ascii="Arial" w:hAnsi="Arial" w:cs="Arial"/>
                      <w:b/>
                      <w:bCs/>
                    </w:rPr>
                    <w:t xml:space="preserve">Alongside an application, Postgraduate Doctors are required </w:t>
                  </w:r>
                  <w:r w:rsidR="00C62B87" w:rsidRPr="00AC70B4">
                    <w:rPr>
                      <w:rFonts w:ascii="Arial" w:hAnsi="Arial" w:cs="Arial"/>
                      <w:b/>
                      <w:bCs/>
                    </w:rPr>
                    <w:t>to</w:t>
                  </w:r>
                  <w:r w:rsidRPr="00AC70B4">
                    <w:rPr>
                      <w:rFonts w:ascii="Arial" w:hAnsi="Arial" w:cs="Arial"/>
                      <w:b/>
                      <w:bCs/>
                    </w:rPr>
                    <w:t xml:space="preserve"> attach an explanation of how the learning activity will allow them to meet their curriculum requirement.  </w:t>
                  </w:r>
                </w:p>
                <w:p w14:paraId="668C1C62" w14:textId="77777777" w:rsidR="0042196C" w:rsidRDefault="0042196C" w:rsidP="00BC3515">
                  <w:pPr>
                    <w:jc w:val="both"/>
                    <w:rPr>
                      <w:rFonts w:ascii="Arial" w:hAnsi="Arial" w:cs="Arial"/>
                    </w:rPr>
                  </w:pPr>
                </w:p>
                <w:p w14:paraId="18778843" w14:textId="23148DAE" w:rsidR="00BC3515" w:rsidRDefault="00BC3515" w:rsidP="00BC3515">
                  <w:pPr>
                    <w:jc w:val="both"/>
                    <w:rPr>
                      <w:rFonts w:ascii="Arial" w:hAnsi="Arial" w:cs="Arial"/>
                    </w:rPr>
                  </w:pPr>
                  <w:r w:rsidRPr="00BC3515">
                    <w:rPr>
                      <w:rFonts w:ascii="Arial" w:hAnsi="Arial" w:cs="Arial"/>
                    </w:rPr>
                    <w:t>In general the deadline for return of any expense claim forms is 3 months from the 1</w:t>
                  </w:r>
                  <w:r w:rsidRPr="00BC3515">
                    <w:rPr>
                      <w:rFonts w:ascii="Arial" w:hAnsi="Arial" w:cs="Arial"/>
                      <w:vertAlign w:val="superscript"/>
                    </w:rPr>
                    <w:t>st</w:t>
                  </w:r>
                  <w:r w:rsidRPr="00BC3515">
                    <w:rPr>
                      <w:rFonts w:ascii="Arial" w:hAnsi="Arial" w:cs="Arial"/>
                    </w:rPr>
                    <w:t xml:space="preserve"> day of the course (or before end of February, whichever comes first).</w:t>
                  </w:r>
                </w:p>
                <w:p w14:paraId="3CB33E9E" w14:textId="77777777" w:rsidR="00D43D35" w:rsidRPr="00BC3515" w:rsidRDefault="00D43D35" w:rsidP="00BC3515">
                  <w:pPr>
                    <w:jc w:val="both"/>
                    <w:rPr>
                      <w:rFonts w:ascii="Arial" w:hAnsi="Arial" w:cs="Arial"/>
                      <w:u w:val="single"/>
                    </w:rPr>
                  </w:pPr>
                </w:p>
              </w:tc>
            </w:tr>
            <w:tr w:rsidR="00BC3515" w:rsidRPr="00BC3515" w14:paraId="0041F587" w14:textId="77777777" w:rsidTr="004818B4">
              <w:tc>
                <w:tcPr>
                  <w:tcW w:w="936" w:type="dxa"/>
                  <w:tcBorders>
                    <w:top w:val="nil"/>
                    <w:left w:val="nil"/>
                    <w:bottom w:val="nil"/>
                    <w:right w:val="nil"/>
                  </w:tcBorders>
                </w:tcPr>
                <w:p w14:paraId="226274C8" w14:textId="51447D63" w:rsidR="00BC3515" w:rsidRPr="0042196C" w:rsidRDefault="0042196C" w:rsidP="0042196C">
                  <w:pPr>
                    <w:jc w:val="both"/>
                    <w:rPr>
                      <w:rFonts w:ascii="Arial" w:hAnsi="Arial" w:cs="Arial"/>
                      <w:b/>
                      <w:bCs/>
                    </w:rPr>
                  </w:pPr>
                  <w:r w:rsidRPr="0042196C">
                    <w:rPr>
                      <w:rFonts w:ascii="Arial" w:hAnsi="Arial" w:cs="Arial"/>
                      <w:b/>
                      <w:bCs/>
                    </w:rPr>
                    <w:t xml:space="preserve">      6.5</w:t>
                  </w:r>
                </w:p>
              </w:tc>
              <w:tc>
                <w:tcPr>
                  <w:tcW w:w="7569" w:type="dxa"/>
                  <w:tcBorders>
                    <w:top w:val="nil"/>
                    <w:left w:val="nil"/>
                    <w:bottom w:val="nil"/>
                    <w:right w:val="nil"/>
                  </w:tcBorders>
                </w:tcPr>
                <w:p w14:paraId="3626F3CC" w14:textId="77777777" w:rsidR="00BC3515" w:rsidRDefault="00BC3515" w:rsidP="00BC3515">
                  <w:pPr>
                    <w:jc w:val="both"/>
                    <w:rPr>
                      <w:rFonts w:ascii="Arial" w:hAnsi="Arial" w:cs="Arial"/>
                    </w:rPr>
                  </w:pPr>
                  <w:r w:rsidRPr="00BC3515">
                    <w:rPr>
                      <w:rFonts w:ascii="Arial" w:hAnsi="Arial" w:cs="Arial"/>
                    </w:rPr>
                    <w:t>Study Leave expenses are paid via salary.</w:t>
                  </w:r>
                </w:p>
                <w:p w14:paraId="0F63BC78" w14:textId="77777777" w:rsidR="00D43D35" w:rsidRPr="00BC3515" w:rsidRDefault="00D43D35" w:rsidP="00BC3515">
                  <w:pPr>
                    <w:jc w:val="both"/>
                    <w:rPr>
                      <w:rFonts w:ascii="Arial" w:hAnsi="Arial" w:cs="Arial"/>
                      <w:u w:val="single"/>
                    </w:rPr>
                  </w:pPr>
                </w:p>
              </w:tc>
            </w:tr>
            <w:tr w:rsidR="00BC3515" w:rsidRPr="00BC3515" w14:paraId="37641269" w14:textId="77777777" w:rsidTr="004818B4">
              <w:tc>
                <w:tcPr>
                  <w:tcW w:w="936" w:type="dxa"/>
                  <w:tcBorders>
                    <w:top w:val="nil"/>
                    <w:left w:val="nil"/>
                    <w:bottom w:val="nil"/>
                    <w:right w:val="nil"/>
                  </w:tcBorders>
                </w:tcPr>
                <w:p w14:paraId="7D74FCC7" w14:textId="00207CDE" w:rsidR="00BC3515" w:rsidRPr="0042196C" w:rsidRDefault="0042196C" w:rsidP="0042196C">
                  <w:pPr>
                    <w:jc w:val="both"/>
                    <w:rPr>
                      <w:rFonts w:ascii="Arial" w:hAnsi="Arial" w:cs="Arial"/>
                    </w:rPr>
                  </w:pPr>
                  <w:r>
                    <w:rPr>
                      <w:rFonts w:ascii="Arial" w:hAnsi="Arial" w:cs="Arial"/>
                    </w:rPr>
                    <w:t xml:space="preserve">      6.6</w:t>
                  </w:r>
                </w:p>
              </w:tc>
              <w:tc>
                <w:tcPr>
                  <w:tcW w:w="7569" w:type="dxa"/>
                  <w:tcBorders>
                    <w:top w:val="nil"/>
                    <w:left w:val="nil"/>
                    <w:bottom w:val="nil"/>
                    <w:right w:val="nil"/>
                  </w:tcBorders>
                </w:tcPr>
                <w:p w14:paraId="0C125C1A" w14:textId="440F21EE" w:rsidR="00BC3515" w:rsidRPr="00BC3515" w:rsidRDefault="002F4316" w:rsidP="00BC3515">
                  <w:pPr>
                    <w:jc w:val="both"/>
                    <w:rPr>
                      <w:rFonts w:ascii="Arial" w:hAnsi="Arial" w:cs="Arial"/>
                      <w:u w:val="single"/>
                    </w:rPr>
                  </w:pPr>
                  <w:r>
                    <w:rPr>
                      <w:rFonts w:ascii="Arial" w:hAnsi="Arial" w:cs="Arial"/>
                    </w:rPr>
                    <w:t xml:space="preserve">Postgraduate </w:t>
                  </w:r>
                  <w:r w:rsidR="004779AA">
                    <w:rPr>
                      <w:rFonts w:ascii="Arial" w:hAnsi="Arial" w:cs="Arial"/>
                    </w:rPr>
                    <w:t xml:space="preserve">Doctors </w:t>
                  </w:r>
                  <w:r w:rsidR="004779AA" w:rsidRPr="00BC3515">
                    <w:rPr>
                      <w:rFonts w:ascii="Arial" w:hAnsi="Arial" w:cs="Arial"/>
                    </w:rPr>
                    <w:t>must</w:t>
                  </w:r>
                  <w:r w:rsidR="00BC3515" w:rsidRPr="00BC3515">
                    <w:rPr>
                      <w:rFonts w:ascii="Arial" w:hAnsi="Arial" w:cs="Arial"/>
                    </w:rPr>
                    <w:t xml:space="preserve"> ensure their local role coordinator is made aware of any planned Study Leave. It is ultimately the trainee’s responsibility to swap any on call or other commitments arising during the planned Study Leave period.</w:t>
                  </w:r>
                </w:p>
              </w:tc>
            </w:tr>
            <w:tr w:rsidR="00BC3515" w:rsidRPr="00BC3515" w14:paraId="7F2618B4" w14:textId="77777777" w:rsidTr="004818B4">
              <w:tc>
                <w:tcPr>
                  <w:tcW w:w="936" w:type="dxa"/>
                  <w:tcBorders>
                    <w:top w:val="nil"/>
                    <w:left w:val="nil"/>
                    <w:bottom w:val="nil"/>
                    <w:right w:val="nil"/>
                  </w:tcBorders>
                </w:tcPr>
                <w:p w14:paraId="15230C21" w14:textId="77777777" w:rsidR="00BC3515" w:rsidRPr="00BC3515" w:rsidRDefault="00BC3515" w:rsidP="00E05045">
                  <w:pPr>
                    <w:pStyle w:val="ListParagraph"/>
                    <w:ind w:left="0"/>
                    <w:jc w:val="both"/>
                    <w:rPr>
                      <w:rFonts w:ascii="Arial" w:hAnsi="Arial" w:cs="Arial"/>
                    </w:rPr>
                  </w:pPr>
                </w:p>
              </w:tc>
              <w:tc>
                <w:tcPr>
                  <w:tcW w:w="7569" w:type="dxa"/>
                  <w:tcBorders>
                    <w:top w:val="nil"/>
                    <w:left w:val="nil"/>
                    <w:bottom w:val="nil"/>
                    <w:right w:val="nil"/>
                  </w:tcBorders>
                </w:tcPr>
                <w:p w14:paraId="7C951A7D" w14:textId="77777777" w:rsidR="00BC3515" w:rsidRPr="00BC3515" w:rsidRDefault="00BC3515" w:rsidP="00E05045">
                  <w:pPr>
                    <w:pStyle w:val="ListParagraph"/>
                    <w:ind w:left="0"/>
                    <w:jc w:val="both"/>
                    <w:rPr>
                      <w:rFonts w:ascii="Arial" w:hAnsi="Arial" w:cs="Arial"/>
                    </w:rPr>
                  </w:pPr>
                  <w:r w:rsidRPr="00BC3515">
                    <w:rPr>
                      <w:rFonts w:ascii="Arial" w:hAnsi="Arial" w:cs="Arial"/>
                    </w:rPr>
                    <w:tab/>
                  </w:r>
                </w:p>
              </w:tc>
            </w:tr>
            <w:tr w:rsidR="00BC3515" w:rsidRPr="00BC3515" w14:paraId="01CD3F0B" w14:textId="77777777" w:rsidTr="004818B4">
              <w:tc>
                <w:tcPr>
                  <w:tcW w:w="936" w:type="dxa"/>
                  <w:tcBorders>
                    <w:top w:val="nil"/>
                    <w:left w:val="nil"/>
                    <w:bottom w:val="nil"/>
                    <w:right w:val="nil"/>
                  </w:tcBorders>
                </w:tcPr>
                <w:p w14:paraId="738EB5C9" w14:textId="77777777" w:rsidR="00BC3515" w:rsidRPr="00BC3515" w:rsidRDefault="00BC3515" w:rsidP="00E05045">
                  <w:pPr>
                    <w:jc w:val="both"/>
                    <w:rPr>
                      <w:rFonts w:ascii="Arial" w:hAnsi="Arial" w:cs="Arial"/>
                    </w:rPr>
                  </w:pPr>
                </w:p>
              </w:tc>
              <w:tc>
                <w:tcPr>
                  <w:tcW w:w="7569" w:type="dxa"/>
                  <w:tcBorders>
                    <w:top w:val="nil"/>
                    <w:left w:val="nil"/>
                    <w:bottom w:val="nil"/>
                    <w:right w:val="nil"/>
                  </w:tcBorders>
                </w:tcPr>
                <w:p w14:paraId="44E0DEB9" w14:textId="77777777" w:rsidR="00BC3515" w:rsidRPr="00BC3515" w:rsidRDefault="00BC3515" w:rsidP="00E05045">
                  <w:pPr>
                    <w:jc w:val="both"/>
                    <w:rPr>
                      <w:rFonts w:ascii="Arial" w:hAnsi="Arial" w:cs="Arial"/>
                    </w:rPr>
                  </w:pPr>
                </w:p>
              </w:tc>
            </w:tr>
          </w:tbl>
          <w:p w14:paraId="39F848B0" w14:textId="77777777" w:rsidR="00BC3515" w:rsidRDefault="00BC3515"/>
        </w:tc>
      </w:tr>
    </w:tbl>
    <w:p w14:paraId="6ECC7A0F" w14:textId="77777777" w:rsidR="003046AA" w:rsidRDefault="003046AA" w:rsidP="00BC3515">
      <w:pPr>
        <w:spacing w:after="0"/>
        <w:jc w:val="both"/>
        <w:rPr>
          <w:rFonts w:ascii="Arial" w:hAnsi="Arial" w:cs="Arial"/>
        </w:rPr>
      </w:pPr>
    </w:p>
    <w:p w14:paraId="35739506" w14:textId="572E90DC" w:rsidR="003046AA" w:rsidRPr="0064278F" w:rsidRDefault="00EF4271" w:rsidP="00BC3515">
      <w:pPr>
        <w:spacing w:after="0"/>
        <w:jc w:val="both"/>
        <w:rPr>
          <w:rFonts w:ascii="Arial" w:hAnsi="Arial" w:cs="Arial"/>
        </w:rPr>
      </w:pPr>
      <w:r>
        <w:rPr>
          <w:rFonts w:ascii="Arial" w:hAnsi="Arial" w:cs="Arial"/>
        </w:rPr>
        <w:t>April</w:t>
      </w:r>
      <w:r w:rsidR="00670FD0">
        <w:rPr>
          <w:rFonts w:ascii="Arial" w:hAnsi="Arial" w:cs="Arial"/>
        </w:rPr>
        <w:t xml:space="preserve"> 2024</w:t>
      </w:r>
    </w:p>
    <w:sectPr w:rsidR="003046AA" w:rsidRPr="00642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0730"/>
    <w:multiLevelType w:val="multilevel"/>
    <w:tmpl w:val="A3E2C7AA"/>
    <w:lvl w:ilvl="0">
      <w:start w:val="1"/>
      <w:numFmt w:val="decimal"/>
      <w:lvlText w:val="%1."/>
      <w:lvlJc w:val="left"/>
      <w:pPr>
        <w:ind w:left="72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40DDD"/>
    <w:multiLevelType w:val="hybridMultilevel"/>
    <w:tmpl w:val="8096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72EDE"/>
    <w:multiLevelType w:val="multilevel"/>
    <w:tmpl w:val="7AD26C02"/>
    <w:lvl w:ilvl="0">
      <w:start w:val="5"/>
      <w:numFmt w:val="decimal"/>
      <w:lvlText w:val="%1"/>
      <w:lvlJc w:val="left"/>
      <w:pPr>
        <w:ind w:left="360" w:hanging="360"/>
      </w:pPr>
      <w:rPr>
        <w:rFonts w:hint="default"/>
        <w:u w:val="non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 w15:restartNumberingAfterBreak="0">
    <w:nsid w:val="12B30364"/>
    <w:multiLevelType w:val="hybridMultilevel"/>
    <w:tmpl w:val="871A9414"/>
    <w:lvl w:ilvl="0" w:tplc="31804D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E7414"/>
    <w:multiLevelType w:val="multilevel"/>
    <w:tmpl w:val="D940FE56"/>
    <w:lvl w:ilvl="0">
      <w:start w:val="3"/>
      <w:numFmt w:val="decimal"/>
      <w:lvlText w:val="%1"/>
      <w:lvlJc w:val="left"/>
      <w:pPr>
        <w:ind w:left="420" w:hanging="420"/>
      </w:pPr>
      <w:rPr>
        <w:rFonts w:hint="default"/>
        <w:u w:val="none"/>
      </w:rPr>
    </w:lvl>
    <w:lvl w:ilvl="1">
      <w:start w:val="1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1ED22739"/>
    <w:multiLevelType w:val="hybridMultilevel"/>
    <w:tmpl w:val="EA32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10A51"/>
    <w:multiLevelType w:val="hybridMultilevel"/>
    <w:tmpl w:val="FD16D3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0601A7F"/>
    <w:multiLevelType w:val="multilevel"/>
    <w:tmpl w:val="D940FE56"/>
    <w:lvl w:ilvl="0">
      <w:start w:val="3"/>
      <w:numFmt w:val="decimal"/>
      <w:lvlText w:val="%1"/>
      <w:lvlJc w:val="left"/>
      <w:pPr>
        <w:ind w:left="420" w:hanging="420"/>
      </w:pPr>
      <w:rPr>
        <w:rFonts w:hint="default"/>
        <w:u w:val="none"/>
      </w:rPr>
    </w:lvl>
    <w:lvl w:ilvl="1">
      <w:start w:val="1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15:restartNumberingAfterBreak="0">
    <w:nsid w:val="5BE23C7C"/>
    <w:multiLevelType w:val="multilevel"/>
    <w:tmpl w:val="5F76C8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DF3538C"/>
    <w:multiLevelType w:val="multilevel"/>
    <w:tmpl w:val="D0EEF276"/>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0B102F1"/>
    <w:multiLevelType w:val="multilevel"/>
    <w:tmpl w:val="1998593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ADF7D66"/>
    <w:multiLevelType w:val="hybridMultilevel"/>
    <w:tmpl w:val="A4107BA6"/>
    <w:lvl w:ilvl="0" w:tplc="55727B5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229916">
    <w:abstractNumId w:val="0"/>
  </w:num>
  <w:num w:numId="2" w16cid:durableId="300964494">
    <w:abstractNumId w:val="8"/>
  </w:num>
  <w:num w:numId="3" w16cid:durableId="1848671700">
    <w:abstractNumId w:val="10"/>
  </w:num>
  <w:num w:numId="4" w16cid:durableId="167986629">
    <w:abstractNumId w:val="6"/>
  </w:num>
  <w:num w:numId="5" w16cid:durableId="837385631">
    <w:abstractNumId w:val="9"/>
  </w:num>
  <w:num w:numId="6" w16cid:durableId="412745800">
    <w:abstractNumId w:val="2"/>
  </w:num>
  <w:num w:numId="7" w16cid:durableId="1799832936">
    <w:abstractNumId w:val="4"/>
  </w:num>
  <w:num w:numId="8" w16cid:durableId="33043369">
    <w:abstractNumId w:val="1"/>
  </w:num>
  <w:num w:numId="9" w16cid:durableId="132063850">
    <w:abstractNumId w:val="7"/>
  </w:num>
  <w:num w:numId="10" w16cid:durableId="74520979">
    <w:abstractNumId w:val="3"/>
  </w:num>
  <w:num w:numId="11" w16cid:durableId="1175346201">
    <w:abstractNumId w:val="11"/>
  </w:num>
  <w:num w:numId="12" w16cid:durableId="1912807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2E"/>
    <w:rsid w:val="0003433A"/>
    <w:rsid w:val="000369F0"/>
    <w:rsid w:val="00065645"/>
    <w:rsid w:val="000B585B"/>
    <w:rsid w:val="000D1170"/>
    <w:rsid w:val="00127A3C"/>
    <w:rsid w:val="001B0162"/>
    <w:rsid w:val="001C6C3C"/>
    <w:rsid w:val="001E1BFE"/>
    <w:rsid w:val="00237D42"/>
    <w:rsid w:val="002E5CF6"/>
    <w:rsid w:val="002F4316"/>
    <w:rsid w:val="003046AA"/>
    <w:rsid w:val="00307876"/>
    <w:rsid w:val="00312939"/>
    <w:rsid w:val="00362177"/>
    <w:rsid w:val="003635DB"/>
    <w:rsid w:val="003642F2"/>
    <w:rsid w:val="00377C3D"/>
    <w:rsid w:val="003D2D28"/>
    <w:rsid w:val="00410061"/>
    <w:rsid w:val="0042035D"/>
    <w:rsid w:val="0042196C"/>
    <w:rsid w:val="00431B64"/>
    <w:rsid w:val="004779AA"/>
    <w:rsid w:val="004818B4"/>
    <w:rsid w:val="004A2303"/>
    <w:rsid w:val="004C4C97"/>
    <w:rsid w:val="005C298F"/>
    <w:rsid w:val="005D1C25"/>
    <w:rsid w:val="005E4ED4"/>
    <w:rsid w:val="005F2CEF"/>
    <w:rsid w:val="006216F1"/>
    <w:rsid w:val="0064278F"/>
    <w:rsid w:val="00665609"/>
    <w:rsid w:val="00670FD0"/>
    <w:rsid w:val="0068619C"/>
    <w:rsid w:val="007854EF"/>
    <w:rsid w:val="007C5D6C"/>
    <w:rsid w:val="007E6865"/>
    <w:rsid w:val="00837B79"/>
    <w:rsid w:val="00854B30"/>
    <w:rsid w:val="00872E4A"/>
    <w:rsid w:val="00880569"/>
    <w:rsid w:val="008A615F"/>
    <w:rsid w:val="008F1AC6"/>
    <w:rsid w:val="0094614F"/>
    <w:rsid w:val="00952CBA"/>
    <w:rsid w:val="00980B19"/>
    <w:rsid w:val="00997091"/>
    <w:rsid w:val="009D250E"/>
    <w:rsid w:val="009E68BC"/>
    <w:rsid w:val="009F4152"/>
    <w:rsid w:val="00A6460F"/>
    <w:rsid w:val="00A74D73"/>
    <w:rsid w:val="00A86619"/>
    <w:rsid w:val="00AC0D2A"/>
    <w:rsid w:val="00AC70B4"/>
    <w:rsid w:val="00AD5C04"/>
    <w:rsid w:val="00B65790"/>
    <w:rsid w:val="00BC3515"/>
    <w:rsid w:val="00BC7A71"/>
    <w:rsid w:val="00BD5F0E"/>
    <w:rsid w:val="00C1739D"/>
    <w:rsid w:val="00C4625A"/>
    <w:rsid w:val="00C62B87"/>
    <w:rsid w:val="00C85255"/>
    <w:rsid w:val="00C92722"/>
    <w:rsid w:val="00CF7000"/>
    <w:rsid w:val="00D43D35"/>
    <w:rsid w:val="00D56B82"/>
    <w:rsid w:val="00D92817"/>
    <w:rsid w:val="00DA3D3B"/>
    <w:rsid w:val="00E0422E"/>
    <w:rsid w:val="00E4783B"/>
    <w:rsid w:val="00E81F8E"/>
    <w:rsid w:val="00E85BBF"/>
    <w:rsid w:val="00EC1F4B"/>
    <w:rsid w:val="00EF4271"/>
    <w:rsid w:val="00F161C5"/>
    <w:rsid w:val="00F217F5"/>
    <w:rsid w:val="00F47366"/>
    <w:rsid w:val="00FA703B"/>
    <w:rsid w:val="00FD3A14"/>
    <w:rsid w:val="00FF3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D112"/>
  <w15:chartTrackingRefBased/>
  <w15:docId w15:val="{633AD3A9-8132-49DB-AE05-1DFA544D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C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22E"/>
    <w:pPr>
      <w:ind w:left="720"/>
      <w:contextualSpacing/>
    </w:pPr>
  </w:style>
  <w:style w:type="table" w:styleId="TableGrid">
    <w:name w:val="Table Grid"/>
    <w:basedOn w:val="TableNormal"/>
    <w:uiPriority w:val="39"/>
    <w:rsid w:val="00BC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F8E"/>
    <w:rPr>
      <w:rFonts w:ascii="Segoe UI" w:hAnsi="Segoe UI" w:cs="Segoe UI"/>
      <w:sz w:val="18"/>
      <w:szCs w:val="18"/>
    </w:rPr>
  </w:style>
  <w:style w:type="character" w:styleId="Hyperlink">
    <w:name w:val="Hyperlink"/>
    <w:basedOn w:val="DefaultParagraphFont"/>
    <w:uiPriority w:val="99"/>
    <w:unhideWhenUsed/>
    <w:rsid w:val="004A2303"/>
    <w:rPr>
      <w:color w:val="0563C1" w:themeColor="hyperlink"/>
      <w:u w:val="single"/>
    </w:rPr>
  </w:style>
  <w:style w:type="character" w:styleId="UnresolvedMention">
    <w:name w:val="Unresolved Mention"/>
    <w:basedOn w:val="DefaultParagraphFont"/>
    <w:uiPriority w:val="99"/>
    <w:semiHidden/>
    <w:unhideWhenUsed/>
    <w:rsid w:val="004A2303"/>
    <w:rPr>
      <w:color w:val="605E5C"/>
      <w:shd w:val="clear" w:color="auto" w:fill="E1DFDD"/>
    </w:rPr>
  </w:style>
  <w:style w:type="character" w:styleId="CommentReference">
    <w:name w:val="annotation reference"/>
    <w:basedOn w:val="DefaultParagraphFont"/>
    <w:uiPriority w:val="99"/>
    <w:semiHidden/>
    <w:unhideWhenUsed/>
    <w:rsid w:val="00872E4A"/>
    <w:rPr>
      <w:sz w:val="16"/>
      <w:szCs w:val="16"/>
    </w:rPr>
  </w:style>
  <w:style w:type="paragraph" w:styleId="CommentText">
    <w:name w:val="annotation text"/>
    <w:basedOn w:val="Normal"/>
    <w:link w:val="CommentTextChar"/>
    <w:uiPriority w:val="99"/>
    <w:unhideWhenUsed/>
    <w:rsid w:val="00872E4A"/>
    <w:pPr>
      <w:spacing w:line="240" w:lineRule="auto"/>
    </w:pPr>
    <w:rPr>
      <w:sz w:val="20"/>
      <w:szCs w:val="20"/>
    </w:rPr>
  </w:style>
  <w:style w:type="character" w:customStyle="1" w:styleId="CommentTextChar">
    <w:name w:val="Comment Text Char"/>
    <w:basedOn w:val="DefaultParagraphFont"/>
    <w:link w:val="CommentText"/>
    <w:uiPriority w:val="99"/>
    <w:rsid w:val="00872E4A"/>
    <w:rPr>
      <w:sz w:val="20"/>
      <w:szCs w:val="20"/>
    </w:rPr>
  </w:style>
  <w:style w:type="paragraph" w:styleId="CommentSubject">
    <w:name w:val="annotation subject"/>
    <w:basedOn w:val="CommentText"/>
    <w:next w:val="CommentText"/>
    <w:link w:val="CommentSubjectChar"/>
    <w:uiPriority w:val="99"/>
    <w:semiHidden/>
    <w:unhideWhenUsed/>
    <w:rsid w:val="00872E4A"/>
    <w:rPr>
      <w:b/>
      <w:bCs/>
    </w:rPr>
  </w:style>
  <w:style w:type="character" w:customStyle="1" w:styleId="CommentSubjectChar">
    <w:name w:val="Comment Subject Char"/>
    <w:basedOn w:val="CommentTextChar"/>
    <w:link w:val="CommentSubject"/>
    <w:uiPriority w:val="99"/>
    <w:semiHidden/>
    <w:rsid w:val="00872E4A"/>
    <w:rPr>
      <w:b/>
      <w:bCs/>
      <w:sz w:val="20"/>
      <w:szCs w:val="20"/>
    </w:rPr>
  </w:style>
  <w:style w:type="character" w:customStyle="1" w:styleId="Heading1Char">
    <w:name w:val="Heading 1 Char"/>
    <w:basedOn w:val="DefaultParagraphFont"/>
    <w:link w:val="Heading1"/>
    <w:uiPriority w:val="9"/>
    <w:rsid w:val="002E5C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1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nt.hicom.co.uk/Portal/Live/Web/"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23EA211C70CA4392E9581A036D8BC2" ma:contentTypeVersion="12" ma:contentTypeDescription="Create a new document." ma:contentTypeScope="" ma:versionID="d3ab1c2e249d0d929bf6c16421dd79e9">
  <xsd:schema xmlns:xsd="http://www.w3.org/2001/XMLSchema" xmlns:xs="http://www.w3.org/2001/XMLSchema" xmlns:p="http://schemas.microsoft.com/office/2006/metadata/properties" xmlns:ns2="b124a9c3-530c-4277-a196-3e5036c0c64f" xmlns:ns3="e81d2a45-0310-43d2-8eb7-1e6cc0836621" targetNamespace="http://schemas.microsoft.com/office/2006/metadata/properties" ma:root="true" ma:fieldsID="f4dd744dcfa5dd4afad0a9a5ff602c25" ns2:_="" ns3:_="">
    <xsd:import namespace="b124a9c3-530c-4277-a196-3e5036c0c64f"/>
    <xsd:import namespace="e81d2a45-0310-43d2-8eb7-1e6cc08366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4a9c3-530c-4277-a196-3e5036c0c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1d2a45-0310-43d2-8eb7-1e6cc08366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D8FC6-D77A-476C-A6FC-D8450D0A3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B1D00A-5366-4D63-855E-3163DF31F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4a9c3-530c-4277-a196-3e5036c0c64f"/>
    <ds:schemaRef ds:uri="e81d2a45-0310-43d2-8eb7-1e6cc0836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00712-C82E-4325-94FB-B701D1692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Wyatt</dc:creator>
  <cp:keywords/>
  <dc:description/>
  <cp:lastModifiedBy>Jennifer Shaw</cp:lastModifiedBy>
  <cp:revision>2</cp:revision>
  <cp:lastPrinted>2019-11-01T14:36:00Z</cp:lastPrinted>
  <dcterms:created xsi:type="dcterms:W3CDTF">2024-05-07T18:20:00Z</dcterms:created>
  <dcterms:modified xsi:type="dcterms:W3CDTF">2024-05-07T18:20:00Z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0x010100A323EA211C70CA4392E9581A036D8BC2</vt:lpwstr>
  </property>
</Properties>
</file>