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58C24A" w14:textId="5FDB25E1" w:rsidR="00871E52" w:rsidRDefault="00871E52" w:rsidP="00317F85">
      <w:pPr>
        <w:pStyle w:val="Heading1"/>
        <w:rPr>
          <w:color w:val="0067A5"/>
        </w:rPr>
      </w:pPr>
      <w:bookmarkStart w:id="0" w:name="Title"/>
    </w:p>
    <w:p w14:paraId="55CC7080" w14:textId="404DF4A0" w:rsidR="00107CF7" w:rsidRPr="009648C3" w:rsidRDefault="00317F85" w:rsidP="00317F85">
      <w:pPr>
        <w:pStyle w:val="Heading1"/>
        <w:rPr>
          <w:color w:val="AE2473"/>
        </w:rPr>
      </w:pPr>
      <w:r w:rsidRPr="009648C3">
        <w:rPr>
          <w:color w:val="AE2473"/>
        </w:rPr>
        <w:fldChar w:fldCharType="begin"/>
      </w:r>
      <w:r w:rsidRPr="009648C3">
        <w:rPr>
          <w:color w:val="AE2473"/>
        </w:rPr>
        <w:instrText xml:space="preserve"> TITLE  \* FirstCap  \* MERGEFORMAT </w:instrText>
      </w:r>
      <w:r w:rsidRPr="009648C3">
        <w:rPr>
          <w:color w:val="AE2473"/>
        </w:rPr>
        <w:fldChar w:fldCharType="end"/>
      </w:r>
      <w:r w:rsidR="00F35DCB">
        <w:rPr>
          <w:color w:val="AE2473"/>
        </w:rPr>
        <w:t>Acting Up as A Consultant Guidance</w:t>
      </w:r>
    </w:p>
    <w:bookmarkEnd w:id="0"/>
    <w:p w14:paraId="00ADFF0F" w14:textId="77777777" w:rsidR="00317F85" w:rsidRPr="000364A7" w:rsidRDefault="00317F85" w:rsidP="00107CF7">
      <w:pPr>
        <w:rPr>
          <w:b/>
          <w:bCs/>
        </w:rPr>
      </w:pPr>
    </w:p>
    <w:p w14:paraId="729D0DB9" w14:textId="7B43230A" w:rsidR="00F35DCB" w:rsidRDefault="00F35DCB" w:rsidP="004A3A04">
      <w:pPr>
        <w:pStyle w:val="Heading2"/>
      </w:pPr>
      <w:bookmarkStart w:id="1" w:name="Heading2"/>
      <w:r>
        <w:t>To be referred to in conjunction with the AUC application form</w:t>
      </w:r>
      <w:bookmarkEnd w:id="1"/>
    </w:p>
    <w:p w14:paraId="6D4EFBEB" w14:textId="77777777" w:rsidR="00496A01" w:rsidRPr="003606B9" w:rsidRDefault="00496A01" w:rsidP="00496A01">
      <w:pPr>
        <w:rPr>
          <w:b/>
          <w:bCs/>
          <w:color w:val="004689" w:themeColor="text1" w:themeShade="BF"/>
        </w:rPr>
      </w:pPr>
      <w:r w:rsidRPr="003606B9">
        <w:rPr>
          <w:b/>
          <w:bCs/>
          <w:color w:val="004689" w:themeColor="text1" w:themeShade="BF"/>
        </w:rPr>
        <w:t>Background:</w:t>
      </w:r>
    </w:p>
    <w:p w14:paraId="0A235352" w14:textId="77777777" w:rsidR="00496A01" w:rsidRDefault="00496A01" w:rsidP="00496A01"/>
    <w:p w14:paraId="08402877" w14:textId="77777777" w:rsidR="00496A01" w:rsidRPr="00CE4019" w:rsidRDefault="00496A01" w:rsidP="00496A01">
      <w:pPr>
        <w:rPr>
          <w:rFonts w:ascii="Arial Body" w:hAnsi="Arial Body" w:hint="eastAsia"/>
          <w:sz w:val="22"/>
          <w:szCs w:val="22"/>
        </w:rPr>
      </w:pPr>
      <w:r w:rsidRPr="00CE4019">
        <w:rPr>
          <w:rFonts w:ascii="Arial Body" w:hAnsi="Arial Body"/>
          <w:sz w:val="22"/>
          <w:szCs w:val="22"/>
        </w:rPr>
        <w:t xml:space="preserve">Reference is made to acting up within the </w:t>
      </w:r>
      <w:hyperlink r:id="rId11" w:history="1">
        <w:r w:rsidRPr="00CE4019">
          <w:rPr>
            <w:rStyle w:val="Hyperlink"/>
            <w:rFonts w:ascii="Arial Body" w:hAnsi="Arial Body"/>
            <w:sz w:val="22"/>
            <w:szCs w:val="22"/>
          </w:rPr>
          <w:t>Gold Guide 9</w:t>
        </w:r>
        <w:r w:rsidRPr="00CE4019">
          <w:rPr>
            <w:rStyle w:val="Hyperlink"/>
            <w:rFonts w:ascii="Arial Body" w:hAnsi="Arial Body"/>
            <w:sz w:val="22"/>
            <w:szCs w:val="22"/>
            <w:vertAlign w:val="superscript"/>
          </w:rPr>
          <w:t>th</w:t>
        </w:r>
        <w:r w:rsidRPr="00CE4019">
          <w:rPr>
            <w:rStyle w:val="Hyperlink"/>
            <w:rFonts w:ascii="Arial Body" w:hAnsi="Arial Body"/>
            <w:sz w:val="22"/>
            <w:szCs w:val="22"/>
          </w:rPr>
          <w:t xml:space="preserve"> Edition: A Reference Guide to Postgraduate Foundation and Specialty Training in the UK</w:t>
        </w:r>
      </w:hyperlink>
      <w:r w:rsidRPr="00CE4019">
        <w:rPr>
          <w:rFonts w:ascii="Arial Body" w:hAnsi="Arial Body"/>
          <w:sz w:val="22"/>
          <w:szCs w:val="22"/>
        </w:rPr>
        <w:t xml:space="preserve"> (3.160) </w:t>
      </w:r>
    </w:p>
    <w:p w14:paraId="38E8ECA4" w14:textId="77777777" w:rsidR="00496A01" w:rsidRPr="00CE4019" w:rsidRDefault="00496A01" w:rsidP="00107CF7">
      <w:pPr>
        <w:rPr>
          <w:rFonts w:ascii="Arial Body" w:hAnsi="Arial Body" w:hint="eastAsia"/>
          <w:b/>
          <w:bCs/>
          <w:color w:val="005EB8" w:themeColor="accent4"/>
        </w:rPr>
      </w:pPr>
    </w:p>
    <w:p w14:paraId="3FEC74F0" w14:textId="77777777" w:rsidR="00496A01" w:rsidRDefault="00496A01" w:rsidP="00107CF7">
      <w:pPr>
        <w:rPr>
          <w:b/>
          <w:bCs/>
          <w:color w:val="005EB8" w:themeColor="accent4"/>
        </w:rPr>
      </w:pPr>
    </w:p>
    <w:p w14:paraId="1722E51C" w14:textId="5ACB2F8F" w:rsidR="00107CF7" w:rsidRPr="003606B9" w:rsidRDefault="00F35DCB" w:rsidP="00107CF7">
      <w:pPr>
        <w:rPr>
          <w:b/>
          <w:bCs/>
          <w:color w:val="004689" w:themeColor="text1" w:themeShade="BF"/>
        </w:rPr>
      </w:pPr>
      <w:r w:rsidRPr="003606B9">
        <w:rPr>
          <w:b/>
          <w:bCs/>
          <w:color w:val="004689" w:themeColor="text1" w:themeShade="BF"/>
        </w:rPr>
        <w:t>FAQs:</w:t>
      </w:r>
    </w:p>
    <w:p w14:paraId="7E971CA8" w14:textId="77777777" w:rsidR="00933394" w:rsidRDefault="00933394" w:rsidP="00107CF7">
      <w:bookmarkStart w:id="2" w:name="Heading3"/>
    </w:p>
    <w:p w14:paraId="3E69A5B0" w14:textId="2C1A9F10" w:rsidR="00107CF7" w:rsidRPr="00110555" w:rsidRDefault="00F35DCB" w:rsidP="00110555">
      <w:pPr>
        <w:pStyle w:val="Heading3"/>
        <w:rPr>
          <w:color w:val="005EB8" w:themeColor="text1"/>
        </w:rPr>
      </w:pPr>
      <w:r>
        <w:rPr>
          <w:color w:val="005EB8" w:themeColor="text1"/>
        </w:rPr>
        <w:t>When can I act up as a Consultant?</w:t>
      </w:r>
      <w:bookmarkEnd w:id="2"/>
    </w:p>
    <w:p w14:paraId="2DC533E7" w14:textId="77777777" w:rsidR="00AF5E4A" w:rsidRDefault="00F35DCB" w:rsidP="00AF5E4A">
      <w:pPr>
        <w:pStyle w:val="ListParagraph"/>
        <w:numPr>
          <w:ilvl w:val="0"/>
          <w:numId w:val="3"/>
        </w:numPr>
      </w:pPr>
      <w:r>
        <w:t>You must be within one year of your CCT date</w:t>
      </w:r>
      <w:r w:rsidR="004B5410">
        <w:t xml:space="preserve"> to act up as a Consultant (AUC)</w:t>
      </w:r>
      <w:r>
        <w:t xml:space="preserve">. </w:t>
      </w:r>
    </w:p>
    <w:p w14:paraId="77B749C9" w14:textId="7CADAA2B" w:rsidR="00933394" w:rsidRPr="00933394" w:rsidRDefault="00F35DCB" w:rsidP="00107CF7">
      <w:pPr>
        <w:pStyle w:val="ListParagraph"/>
        <w:numPr>
          <w:ilvl w:val="0"/>
          <w:numId w:val="3"/>
        </w:numPr>
      </w:pPr>
      <w:r>
        <w:t>Acting up allows Postgraduate doctors in training to gain experience of Consultancy whilst still maintaining the supervision afforded by their training programme.</w:t>
      </w:r>
    </w:p>
    <w:p w14:paraId="5C2DCDFD" w14:textId="77777777" w:rsidR="0024671F" w:rsidRDefault="0024671F" w:rsidP="00F35DCB"/>
    <w:p w14:paraId="75D8FA32" w14:textId="77777777" w:rsidR="0024671F" w:rsidRPr="0024671F" w:rsidRDefault="0024671F" w:rsidP="00F35DCB">
      <w:pPr>
        <w:rPr>
          <w:b/>
          <w:bCs/>
          <w:color w:val="005EB8" w:themeColor="accent4"/>
        </w:rPr>
      </w:pPr>
      <w:r w:rsidRPr="0024671F">
        <w:rPr>
          <w:b/>
          <w:bCs/>
          <w:color w:val="005EB8" w:themeColor="accent4"/>
        </w:rPr>
        <w:t>How long can I act up for?</w:t>
      </w:r>
    </w:p>
    <w:p w14:paraId="3A1DB8AC" w14:textId="77777777" w:rsidR="0024671F" w:rsidRDefault="0024671F" w:rsidP="00F35DCB"/>
    <w:p w14:paraId="563A28C0" w14:textId="77777777" w:rsidR="00AF5E4A" w:rsidRDefault="0024671F" w:rsidP="00AF5E4A">
      <w:pPr>
        <w:pStyle w:val="ListParagraph"/>
        <w:numPr>
          <w:ilvl w:val="0"/>
          <w:numId w:val="4"/>
        </w:numPr>
      </w:pPr>
      <w:r>
        <w:t xml:space="preserve">There is fixed maximum period of 3 months. </w:t>
      </w:r>
    </w:p>
    <w:p w14:paraId="1652C39F" w14:textId="77777777" w:rsidR="0054783E" w:rsidRDefault="00AE30B4" w:rsidP="00AF5E4A">
      <w:pPr>
        <w:pStyle w:val="ListParagraph"/>
        <w:numPr>
          <w:ilvl w:val="0"/>
          <w:numId w:val="4"/>
        </w:numPr>
      </w:pPr>
      <w:r>
        <w:t xml:space="preserve">LTFT postgraduate doctors in training may apply for a period of </w:t>
      </w:r>
      <w:r w:rsidR="004B5410">
        <w:t xml:space="preserve">AUC </w:t>
      </w:r>
      <w:r w:rsidR="00485BFB">
        <w:t>on a pro rata basis.</w:t>
      </w:r>
    </w:p>
    <w:p w14:paraId="4C4CF9BF" w14:textId="201E26FA" w:rsidR="00AC3134" w:rsidRDefault="0002007D" w:rsidP="00AF5E4A">
      <w:pPr>
        <w:pStyle w:val="ListParagraph"/>
        <w:numPr>
          <w:ilvl w:val="0"/>
          <w:numId w:val="4"/>
        </w:numPr>
      </w:pPr>
      <w:r>
        <w:t xml:space="preserve">There may be some situations </w:t>
      </w:r>
      <w:r w:rsidR="00C42F53">
        <w:t>in which the Postgraduate Dean may exercise discretion to extend the acting up</w:t>
      </w:r>
      <w:r w:rsidR="00822CF1">
        <w:t xml:space="preserve"> offer, in order to aid patient care and ensure patient safety (</w:t>
      </w:r>
      <w:proofErr w:type="spellStart"/>
      <w:r w:rsidR="00822CF1">
        <w:t>eg</w:t>
      </w:r>
      <w:r w:rsidR="004A0D74">
        <w:t>.</w:t>
      </w:r>
      <w:proofErr w:type="spellEnd"/>
      <w:r w:rsidR="004A0D74">
        <w:t xml:space="preserve"> Pandemics or events of a catastrophic nature as per </w:t>
      </w:r>
      <w:r w:rsidR="00C42F53">
        <w:t>G</w:t>
      </w:r>
      <w:r w:rsidR="00C42F53">
        <w:rPr>
          <w:rFonts w:ascii="Arial" w:eastAsia="Times New Roman" w:hAnsi="Arial" w:cs="Arial"/>
        </w:rPr>
        <w:t>old Guide 9</w:t>
      </w:r>
      <w:r w:rsidR="00822CF1">
        <w:rPr>
          <w:rFonts w:ascii="Arial" w:eastAsia="Times New Roman" w:hAnsi="Arial" w:cs="Arial"/>
        </w:rPr>
        <w:t>:1.12). Any</w:t>
      </w:r>
      <w:r>
        <w:rPr>
          <w:rFonts w:ascii="Arial" w:eastAsia="Times New Roman" w:hAnsi="Arial" w:cs="Arial"/>
        </w:rPr>
        <w:t xml:space="preserve"> requests for AUC over 3 months require exceptional PGD approval.</w:t>
      </w:r>
    </w:p>
    <w:p w14:paraId="09A525D5" w14:textId="77777777" w:rsidR="00AC3134" w:rsidRDefault="00AC3134" w:rsidP="00F35DCB"/>
    <w:p w14:paraId="0CD1F04C" w14:textId="39F1961E" w:rsidR="00AC3134" w:rsidRPr="00C1343B" w:rsidRDefault="00AC3134" w:rsidP="00F35DCB">
      <w:pPr>
        <w:rPr>
          <w:b/>
          <w:bCs/>
          <w:color w:val="005EB8" w:themeColor="accent4"/>
        </w:rPr>
      </w:pPr>
      <w:r w:rsidRPr="00C1343B">
        <w:rPr>
          <w:b/>
          <w:bCs/>
          <w:color w:val="005EB8" w:themeColor="accent4"/>
        </w:rPr>
        <w:t xml:space="preserve">What </w:t>
      </w:r>
      <w:r w:rsidR="009128DC" w:rsidRPr="00C1343B">
        <w:rPr>
          <w:b/>
          <w:bCs/>
          <w:color w:val="005EB8" w:themeColor="accent4"/>
        </w:rPr>
        <w:t>are</w:t>
      </w:r>
      <w:r w:rsidRPr="00C1343B">
        <w:rPr>
          <w:b/>
          <w:bCs/>
          <w:color w:val="005EB8" w:themeColor="accent4"/>
        </w:rPr>
        <w:t xml:space="preserve"> the eligibility criteria?</w:t>
      </w:r>
    </w:p>
    <w:p w14:paraId="7B0F8C0A" w14:textId="77777777" w:rsidR="00AC3134" w:rsidRDefault="00AC3134" w:rsidP="00F35DCB"/>
    <w:p w14:paraId="327DC449" w14:textId="77777777" w:rsidR="00AF5E4A" w:rsidRDefault="000C7C19" w:rsidP="00AF5E4A">
      <w:pPr>
        <w:pStyle w:val="ListParagraph"/>
        <w:numPr>
          <w:ilvl w:val="0"/>
          <w:numId w:val="2"/>
        </w:numPr>
      </w:pPr>
      <w:r>
        <w:t xml:space="preserve">There is no right to an AUC opportunity. Offers are made </w:t>
      </w:r>
      <w:r w:rsidR="00F37ECC">
        <w:t>by host local education providers</w:t>
      </w:r>
      <w:r w:rsidR="004B374B">
        <w:t>, as opportunities arise.</w:t>
      </w:r>
    </w:p>
    <w:p w14:paraId="5AB02572" w14:textId="47E334A7" w:rsidR="00AF5E4A" w:rsidRDefault="00AF5E4A" w:rsidP="00AF5E4A">
      <w:pPr>
        <w:pStyle w:val="ListParagraph"/>
        <w:numPr>
          <w:ilvl w:val="0"/>
          <w:numId w:val="2"/>
        </w:numPr>
      </w:pPr>
      <w:r>
        <w:t>Approval will only be given if the AUC placement is relevant to gaining competencies, knowledge, skills and behaviours required by the curriculum.</w:t>
      </w:r>
    </w:p>
    <w:p w14:paraId="21754462" w14:textId="1F01F2E8" w:rsidR="00AF5E4A" w:rsidRDefault="00AF5E4A" w:rsidP="00AF5E4A">
      <w:pPr>
        <w:pStyle w:val="ListParagraph"/>
        <w:numPr>
          <w:ilvl w:val="0"/>
          <w:numId w:val="2"/>
        </w:numPr>
      </w:pPr>
      <w:r>
        <w:t xml:space="preserve">Postgraduate doctors in training with </w:t>
      </w:r>
      <w:r w:rsidR="00E64981">
        <w:t>unmet objectives,</w:t>
      </w:r>
      <w:r w:rsidR="005B218F">
        <w:t xml:space="preserve"> developmental ARCP outcome</w:t>
      </w:r>
      <w:r w:rsidR="00743E6F">
        <w:t>s (2, 10.1, 3 or 10.2) or outstanding capabilities</w:t>
      </w:r>
      <w:r w:rsidR="005B218F">
        <w:t xml:space="preserve"> are not normally eligible to act up.</w:t>
      </w:r>
    </w:p>
    <w:p w14:paraId="6ED9AA91" w14:textId="77777777" w:rsidR="0023405B" w:rsidRDefault="0023405B" w:rsidP="004A3A04">
      <w:pPr>
        <w:pStyle w:val="ListParagraph"/>
      </w:pPr>
    </w:p>
    <w:p w14:paraId="5EE3C52E" w14:textId="18A31FFB" w:rsidR="005B218F" w:rsidRDefault="0023405B" w:rsidP="005B218F">
      <w:pPr>
        <w:rPr>
          <w:b/>
          <w:bCs/>
          <w:color w:val="005EB8" w:themeColor="accent4"/>
        </w:rPr>
      </w:pPr>
      <w:r w:rsidRPr="0023405B">
        <w:rPr>
          <w:b/>
          <w:bCs/>
          <w:color w:val="005EB8" w:themeColor="accent4"/>
        </w:rPr>
        <w:t>How do I apply to act up?</w:t>
      </w:r>
    </w:p>
    <w:p w14:paraId="02E70237" w14:textId="77777777" w:rsidR="0023405B" w:rsidRDefault="0023405B" w:rsidP="005B218F">
      <w:pPr>
        <w:rPr>
          <w:b/>
          <w:bCs/>
          <w:color w:val="005EB8" w:themeColor="accent4"/>
        </w:rPr>
      </w:pPr>
    </w:p>
    <w:p w14:paraId="22C6A648" w14:textId="4BF52AAC" w:rsidR="00B320EE" w:rsidRDefault="00B320EE" w:rsidP="00981472">
      <w:pPr>
        <w:pStyle w:val="ListParagraph"/>
        <w:numPr>
          <w:ilvl w:val="0"/>
          <w:numId w:val="5"/>
        </w:numPr>
      </w:pPr>
      <w:r>
        <w:t>Before commencing an AUC position,</w:t>
      </w:r>
      <w:r w:rsidR="001D37CA">
        <w:t xml:space="preserve"> </w:t>
      </w:r>
      <w:r>
        <w:t>you must formally apply and request approval</w:t>
      </w:r>
      <w:r w:rsidR="00981472">
        <w:t xml:space="preserve"> using the </w:t>
      </w:r>
      <w:r w:rsidRPr="001C4EED">
        <w:t>AUC form</w:t>
      </w:r>
      <w:r w:rsidR="00970F2A">
        <w:t>.</w:t>
      </w:r>
      <w:r w:rsidRPr="001C4EED">
        <w:t xml:space="preserve"> </w:t>
      </w:r>
      <w:r>
        <w:t xml:space="preserve"> </w:t>
      </w:r>
    </w:p>
    <w:p w14:paraId="3DB7D80B" w14:textId="6FC77581" w:rsidR="00981472" w:rsidRDefault="00981472" w:rsidP="00981472">
      <w:pPr>
        <w:pStyle w:val="ListParagraph"/>
        <w:numPr>
          <w:ilvl w:val="0"/>
          <w:numId w:val="5"/>
        </w:numPr>
      </w:pPr>
      <w:r>
        <w:t xml:space="preserve">Postgraduate doctors in training are responsible for </w:t>
      </w:r>
      <w:r w:rsidR="00FC4AB1">
        <w:t xml:space="preserve">arranging the completion of sections A-D </w:t>
      </w:r>
      <w:r w:rsidR="00E80F54">
        <w:t xml:space="preserve">and </w:t>
      </w:r>
      <w:r w:rsidR="00FC4AB1">
        <w:t>sending the c</w:t>
      </w:r>
      <w:r w:rsidR="00897730">
        <w:t xml:space="preserve">ompleted form </w:t>
      </w:r>
      <w:r w:rsidR="006D25A2">
        <w:t>and supporting documentation to HEE.</w:t>
      </w:r>
    </w:p>
    <w:p w14:paraId="2DA3EADD" w14:textId="7EAC55ED" w:rsidR="001F7993" w:rsidRDefault="001D37CA" w:rsidP="00B320EE">
      <w:pPr>
        <w:pStyle w:val="ListParagraph"/>
        <w:numPr>
          <w:ilvl w:val="0"/>
          <w:numId w:val="5"/>
        </w:numPr>
      </w:pPr>
      <w:r>
        <w:t xml:space="preserve">You are responsible for informing your </w:t>
      </w:r>
      <w:r w:rsidR="002D41D0">
        <w:t xml:space="preserve">current </w:t>
      </w:r>
      <w:r>
        <w:t>local education provider</w:t>
      </w:r>
      <w:r w:rsidR="00812B71">
        <w:t xml:space="preserve"> of</w:t>
      </w:r>
      <w:r w:rsidR="00CF6A52">
        <w:t xml:space="preserve"> your plans. </w:t>
      </w:r>
    </w:p>
    <w:p w14:paraId="6A302D93" w14:textId="5527B7EA" w:rsidR="001D37CA" w:rsidRDefault="00CF6A52" w:rsidP="00B320EE">
      <w:pPr>
        <w:pStyle w:val="ListParagraph"/>
        <w:numPr>
          <w:ilvl w:val="0"/>
          <w:numId w:val="5"/>
        </w:numPr>
      </w:pPr>
      <w:r>
        <w:t xml:space="preserve">Where </w:t>
      </w:r>
      <w:r w:rsidR="001F7993">
        <w:t xml:space="preserve">you will be directly employed by a local education provider, you must </w:t>
      </w:r>
      <w:r w:rsidR="00E80F54">
        <w:t xml:space="preserve">also </w:t>
      </w:r>
      <w:r w:rsidR="001F7993">
        <w:t xml:space="preserve">ensure the relevant gaining </w:t>
      </w:r>
      <w:r w:rsidR="005429C4">
        <w:t xml:space="preserve">organisation </w:t>
      </w:r>
      <w:r w:rsidR="001F7993">
        <w:t xml:space="preserve">complete section </w:t>
      </w:r>
      <w:r w:rsidR="00492F23">
        <w:t>E</w:t>
      </w:r>
      <w:r w:rsidR="001F7993">
        <w:t xml:space="preserve"> of the form. </w:t>
      </w:r>
    </w:p>
    <w:p w14:paraId="5A4E9186" w14:textId="07B5520B" w:rsidR="006F05C2" w:rsidRDefault="006F05C2" w:rsidP="00B320EE">
      <w:pPr>
        <w:pStyle w:val="ListParagraph"/>
        <w:numPr>
          <w:ilvl w:val="0"/>
          <w:numId w:val="5"/>
        </w:numPr>
      </w:pPr>
      <w:r>
        <w:t xml:space="preserve">Applications should normally be made </w:t>
      </w:r>
      <w:r w:rsidR="0008014D">
        <w:t>a minimum of 16 weeks prior to the proposed start date of the acting up arrangement in order to meet code of practice requirements</w:t>
      </w:r>
      <w:r w:rsidR="00182171">
        <w:t>, however the notice period may be waived in exceptional circumstances.</w:t>
      </w:r>
    </w:p>
    <w:p w14:paraId="64F67D1B" w14:textId="77777777" w:rsidR="001C4EED" w:rsidRDefault="001C4EED" w:rsidP="001C4EED">
      <w:pPr>
        <w:pStyle w:val="ListParagraph"/>
      </w:pPr>
    </w:p>
    <w:p w14:paraId="2C72A8D3" w14:textId="0DD47CE3" w:rsidR="001C4EED" w:rsidRDefault="001C4EED" w:rsidP="001C4EED">
      <w:pPr>
        <w:rPr>
          <w:b/>
          <w:bCs/>
          <w:color w:val="005EB8" w:themeColor="accent4"/>
        </w:rPr>
      </w:pPr>
      <w:r w:rsidRPr="001C4EED">
        <w:rPr>
          <w:b/>
          <w:bCs/>
          <w:color w:val="005EB8" w:themeColor="accent4"/>
        </w:rPr>
        <w:t>Do I still need a supervisor whilst acting up?</w:t>
      </w:r>
    </w:p>
    <w:p w14:paraId="28DA500E" w14:textId="77777777" w:rsidR="001C4EED" w:rsidRDefault="001C4EED" w:rsidP="001C4EED">
      <w:pPr>
        <w:rPr>
          <w:b/>
          <w:bCs/>
          <w:color w:val="005EB8" w:themeColor="accent4"/>
        </w:rPr>
      </w:pPr>
    </w:p>
    <w:p w14:paraId="58D21C75" w14:textId="32DB8BB7" w:rsidR="001C4EED" w:rsidRDefault="001C4EED" w:rsidP="001C4EED">
      <w:pPr>
        <w:pStyle w:val="ListParagraph"/>
        <w:numPr>
          <w:ilvl w:val="0"/>
          <w:numId w:val="5"/>
        </w:numPr>
      </w:pPr>
      <w:r>
        <w:t xml:space="preserve">Yes. You must continue to have a named educational supervisor </w:t>
      </w:r>
      <w:r w:rsidR="00BE5F3D">
        <w:t>during the period of AUC.</w:t>
      </w:r>
      <w:r w:rsidR="002F3AE5">
        <w:t xml:space="preserve"> </w:t>
      </w:r>
      <w:r w:rsidR="00BE5F3D">
        <w:t xml:space="preserve">All supervisory arrangements must be confirmed in advance and agreed by </w:t>
      </w:r>
      <w:r w:rsidR="00865D0F">
        <w:t>your TPD and the educational supervisor.</w:t>
      </w:r>
    </w:p>
    <w:p w14:paraId="3F6D7818" w14:textId="29DABB6A" w:rsidR="00FA1C87" w:rsidRDefault="00FA1C87" w:rsidP="001C4EED">
      <w:pPr>
        <w:pStyle w:val="ListParagraph"/>
        <w:numPr>
          <w:ilvl w:val="0"/>
          <w:numId w:val="5"/>
        </w:numPr>
      </w:pPr>
      <w:r>
        <w:t xml:space="preserve">A postgraduate doctor in training must always have access to an educational supervisor, whether in working hours or on call. </w:t>
      </w:r>
    </w:p>
    <w:p w14:paraId="159D4E40" w14:textId="421853E2" w:rsidR="00FA1C87" w:rsidRDefault="00FA1C87" w:rsidP="001C4EED">
      <w:pPr>
        <w:pStyle w:val="ListParagraph"/>
        <w:numPr>
          <w:ilvl w:val="0"/>
          <w:numId w:val="5"/>
        </w:numPr>
      </w:pPr>
      <w:r>
        <w:t>Training programmes may have additional requirements according to their curriculum.</w:t>
      </w:r>
    </w:p>
    <w:p w14:paraId="6EE35825" w14:textId="77777777" w:rsidR="00FA1C87" w:rsidRDefault="00FA1C87" w:rsidP="00FA1C87"/>
    <w:p w14:paraId="0F9DA67C" w14:textId="196502AA" w:rsidR="00FA1C87" w:rsidRPr="00156758" w:rsidRDefault="00FA1C87" w:rsidP="00FA1C87">
      <w:pPr>
        <w:rPr>
          <w:b/>
          <w:bCs/>
          <w:color w:val="005EB8" w:themeColor="accent4"/>
        </w:rPr>
      </w:pPr>
      <w:r w:rsidRPr="00156758">
        <w:rPr>
          <w:b/>
          <w:bCs/>
          <w:color w:val="005EB8" w:themeColor="accent4"/>
        </w:rPr>
        <w:t>Will acting up count towards my training?</w:t>
      </w:r>
    </w:p>
    <w:p w14:paraId="0F22172F" w14:textId="77777777" w:rsidR="005B218F" w:rsidRDefault="005B218F" w:rsidP="00F35DCB"/>
    <w:p w14:paraId="34520B38" w14:textId="77777777" w:rsidR="000A2E69" w:rsidRDefault="00156758" w:rsidP="00156758">
      <w:pPr>
        <w:pStyle w:val="ListParagraph"/>
        <w:numPr>
          <w:ilvl w:val="0"/>
          <w:numId w:val="6"/>
        </w:numPr>
      </w:pPr>
      <w:r>
        <w:t>This is dependant on your specialty curriculum.</w:t>
      </w:r>
      <w:r w:rsidR="000A2E69">
        <w:t xml:space="preserve"> </w:t>
      </w:r>
    </w:p>
    <w:p w14:paraId="110B64E9" w14:textId="4E1D930F" w:rsidR="00AF5E4A" w:rsidRDefault="000A2E69" w:rsidP="00156758">
      <w:pPr>
        <w:pStyle w:val="ListParagraph"/>
        <w:numPr>
          <w:ilvl w:val="0"/>
          <w:numId w:val="6"/>
        </w:numPr>
      </w:pPr>
      <w:r>
        <w:t xml:space="preserve">It is your responsibility to check </w:t>
      </w:r>
      <w:r w:rsidR="00396051">
        <w:t xml:space="preserve">your curriculum, </w:t>
      </w:r>
      <w:r>
        <w:t>Royal College/Faculty</w:t>
      </w:r>
      <w:r w:rsidR="00396051">
        <w:t xml:space="preserve"> and GMC guidance. </w:t>
      </w:r>
      <w:r w:rsidR="003640E3">
        <w:t>You must comply fully with any requirements.</w:t>
      </w:r>
      <w:r w:rsidR="00A26306">
        <w:t xml:space="preserve"> </w:t>
      </w:r>
    </w:p>
    <w:p w14:paraId="403418A5" w14:textId="1AB8663F" w:rsidR="003640E3" w:rsidRDefault="003640E3" w:rsidP="00156758">
      <w:pPr>
        <w:pStyle w:val="ListParagraph"/>
        <w:numPr>
          <w:ilvl w:val="0"/>
          <w:numId w:val="6"/>
        </w:numPr>
      </w:pPr>
      <w:r>
        <w:t xml:space="preserve">If the </w:t>
      </w:r>
      <w:r w:rsidR="00A26306">
        <w:t>AUC experience</w:t>
      </w:r>
      <w:r>
        <w:t xml:space="preserve"> is formally included in the approved specialty curriculum</w:t>
      </w:r>
      <w:r w:rsidR="004F1EB6">
        <w:t xml:space="preserve">, the period of acting up will automatically count towards your training time and CCT. </w:t>
      </w:r>
    </w:p>
    <w:p w14:paraId="5DBFD55D" w14:textId="6BEE31F9" w:rsidR="004F1EB6" w:rsidRDefault="004F1EB6" w:rsidP="00156758">
      <w:pPr>
        <w:pStyle w:val="ListParagraph"/>
        <w:numPr>
          <w:ilvl w:val="0"/>
          <w:numId w:val="6"/>
        </w:numPr>
      </w:pPr>
      <w:r>
        <w:t>If the specialty curriculum does not make reference to a period of AUC</w:t>
      </w:r>
      <w:r w:rsidR="00A26306">
        <w:t xml:space="preserve">, this cannot be recognised for training and an application for </w:t>
      </w:r>
      <w:r w:rsidR="003315F4">
        <w:t>out of programme experience (</w:t>
      </w:r>
      <w:r w:rsidR="00A26306">
        <w:t>OOPE</w:t>
      </w:r>
      <w:r w:rsidR="003315F4">
        <w:t>)</w:t>
      </w:r>
      <w:r w:rsidR="00A26306">
        <w:t xml:space="preserve"> should be made instead</w:t>
      </w:r>
      <w:r w:rsidR="00424ED8">
        <w:t xml:space="preserve">, using the </w:t>
      </w:r>
      <w:hyperlink r:id="rId12" w:history="1">
        <w:r w:rsidR="00424ED8" w:rsidRPr="00A652DC">
          <w:rPr>
            <w:rStyle w:val="Hyperlink"/>
          </w:rPr>
          <w:t>OOP application form</w:t>
        </w:r>
        <w:r w:rsidR="00970F2A" w:rsidRPr="00A652DC">
          <w:rPr>
            <w:rStyle w:val="Hyperlink"/>
          </w:rPr>
          <w:t>.</w:t>
        </w:r>
      </w:hyperlink>
    </w:p>
    <w:p w14:paraId="46B436D5" w14:textId="06AB7BE9" w:rsidR="007F781C" w:rsidRDefault="007F781C" w:rsidP="00156758">
      <w:pPr>
        <w:pStyle w:val="ListParagraph"/>
        <w:numPr>
          <w:ilvl w:val="0"/>
          <w:numId w:val="6"/>
        </w:numPr>
      </w:pPr>
      <w:r>
        <w:t>Your Royal College/Faculty may have separate paperwork to complete.</w:t>
      </w:r>
    </w:p>
    <w:p w14:paraId="3847722C" w14:textId="53BE73FD" w:rsidR="00A26306" w:rsidRDefault="00A26306" w:rsidP="00156758">
      <w:pPr>
        <w:pStyle w:val="ListParagraph"/>
        <w:numPr>
          <w:ilvl w:val="0"/>
          <w:numId w:val="6"/>
        </w:numPr>
      </w:pPr>
      <w:r>
        <w:t>If you are unsure</w:t>
      </w:r>
      <w:r w:rsidR="009C5908">
        <w:t>,</w:t>
      </w:r>
      <w:r>
        <w:t xml:space="preserve"> please discuss with your TPD.</w:t>
      </w:r>
    </w:p>
    <w:p w14:paraId="70D5ABD8" w14:textId="77777777" w:rsidR="00A26306" w:rsidRPr="00A26306" w:rsidRDefault="00A26306" w:rsidP="00A26306">
      <w:pPr>
        <w:rPr>
          <w:b/>
          <w:bCs/>
          <w:color w:val="005EB8" w:themeColor="accent4"/>
        </w:rPr>
      </w:pPr>
    </w:p>
    <w:p w14:paraId="734E9869" w14:textId="189217E0" w:rsidR="00A26306" w:rsidRDefault="00A26306" w:rsidP="00A26306">
      <w:pPr>
        <w:rPr>
          <w:b/>
          <w:bCs/>
          <w:color w:val="005EB8" w:themeColor="accent4"/>
        </w:rPr>
      </w:pPr>
      <w:r w:rsidRPr="00A26306">
        <w:rPr>
          <w:b/>
          <w:bCs/>
          <w:color w:val="005EB8" w:themeColor="accent4"/>
        </w:rPr>
        <w:t>Will I retain my NTN whilst AUC?</w:t>
      </w:r>
    </w:p>
    <w:p w14:paraId="020297EF" w14:textId="77777777" w:rsidR="00A26306" w:rsidRDefault="00A26306" w:rsidP="00A26306">
      <w:pPr>
        <w:rPr>
          <w:b/>
          <w:bCs/>
          <w:color w:val="005EB8" w:themeColor="accent4"/>
        </w:rPr>
      </w:pPr>
    </w:p>
    <w:p w14:paraId="6E3FE37B" w14:textId="6D55B9DA" w:rsidR="00476803" w:rsidRPr="00476803" w:rsidRDefault="00A26306" w:rsidP="00476803">
      <w:pPr>
        <w:pStyle w:val="ListParagraph"/>
        <w:numPr>
          <w:ilvl w:val="0"/>
          <w:numId w:val="7"/>
        </w:numPr>
      </w:pPr>
      <w:r w:rsidRPr="00476803">
        <w:t>Yes</w:t>
      </w:r>
      <w:r w:rsidR="00476803" w:rsidRPr="00476803">
        <w:t>, y</w:t>
      </w:r>
      <w:r w:rsidR="00D61190" w:rsidRPr="00476803">
        <w:t>ou will maintain your NTN through</w:t>
      </w:r>
      <w:r w:rsidR="00476803">
        <w:t>out</w:t>
      </w:r>
      <w:r w:rsidR="00D61190" w:rsidRPr="00476803">
        <w:t xml:space="preserve"> the AUC period. </w:t>
      </w:r>
    </w:p>
    <w:p w14:paraId="6BFD983D" w14:textId="77777777" w:rsidR="00476803" w:rsidRDefault="00476803" w:rsidP="00A26306">
      <w:pPr>
        <w:rPr>
          <w:b/>
          <w:bCs/>
          <w:color w:val="005EB8" w:themeColor="accent4"/>
        </w:rPr>
      </w:pPr>
    </w:p>
    <w:p w14:paraId="2473A8BF" w14:textId="32055BD2" w:rsidR="00476803" w:rsidRDefault="00476803" w:rsidP="00A26306">
      <w:pPr>
        <w:rPr>
          <w:b/>
          <w:bCs/>
          <w:color w:val="005EB8" w:themeColor="accent4"/>
        </w:rPr>
      </w:pPr>
      <w:r>
        <w:rPr>
          <w:b/>
          <w:bCs/>
          <w:color w:val="005EB8" w:themeColor="accent4"/>
        </w:rPr>
        <w:t xml:space="preserve">Who will be my </w:t>
      </w:r>
      <w:r w:rsidR="00DA5833">
        <w:rPr>
          <w:b/>
          <w:bCs/>
          <w:color w:val="005EB8" w:themeColor="accent4"/>
        </w:rPr>
        <w:t>R</w:t>
      </w:r>
      <w:r>
        <w:rPr>
          <w:b/>
          <w:bCs/>
          <w:color w:val="005EB8" w:themeColor="accent4"/>
        </w:rPr>
        <w:t>esponsible Officer?</w:t>
      </w:r>
    </w:p>
    <w:p w14:paraId="51849427" w14:textId="77777777" w:rsidR="00476803" w:rsidRDefault="00476803" w:rsidP="00A26306">
      <w:pPr>
        <w:rPr>
          <w:b/>
          <w:bCs/>
          <w:color w:val="005EB8" w:themeColor="accent4"/>
        </w:rPr>
      </w:pPr>
    </w:p>
    <w:p w14:paraId="7A376032" w14:textId="49F287A1" w:rsidR="00DF119F" w:rsidRDefault="00D61190" w:rsidP="00DF119F">
      <w:pPr>
        <w:pStyle w:val="ListParagraph"/>
        <w:numPr>
          <w:ilvl w:val="0"/>
          <w:numId w:val="7"/>
        </w:numPr>
      </w:pPr>
      <w:r w:rsidRPr="0063344A">
        <w:t xml:space="preserve">You should remain connected to your Postgraduate Dean </w:t>
      </w:r>
      <w:r w:rsidR="00476803" w:rsidRPr="0063344A">
        <w:t xml:space="preserve">for revalidation purposes, rather than the Responsible Officer within the AUC </w:t>
      </w:r>
      <w:r w:rsidR="0063344A" w:rsidRPr="0063344A">
        <w:t xml:space="preserve">placement. </w:t>
      </w:r>
    </w:p>
    <w:p w14:paraId="4951097B" w14:textId="77777777" w:rsidR="00DF119F" w:rsidRDefault="00DF119F" w:rsidP="009C5908">
      <w:pPr>
        <w:pStyle w:val="ListParagraph"/>
      </w:pPr>
    </w:p>
    <w:p w14:paraId="4D63AAD6" w14:textId="6C6DC384" w:rsidR="00DF119F" w:rsidRDefault="00DF119F" w:rsidP="00DF119F">
      <w:pPr>
        <w:rPr>
          <w:b/>
          <w:bCs/>
          <w:color w:val="005EB8" w:themeColor="text1"/>
        </w:rPr>
      </w:pPr>
      <w:r w:rsidRPr="00DF119F">
        <w:rPr>
          <w:b/>
          <w:bCs/>
          <w:color w:val="005EB8" w:themeColor="text1"/>
        </w:rPr>
        <w:t>Can I act up in a Locum Consultant post?</w:t>
      </w:r>
    </w:p>
    <w:p w14:paraId="17CF0123" w14:textId="77777777" w:rsidR="00DF119F" w:rsidRDefault="00DF119F" w:rsidP="00DF119F">
      <w:pPr>
        <w:rPr>
          <w:b/>
          <w:bCs/>
          <w:color w:val="005EB8" w:themeColor="text1"/>
        </w:rPr>
      </w:pPr>
    </w:p>
    <w:p w14:paraId="5F37178F" w14:textId="52C671D1" w:rsidR="00DF119F" w:rsidRPr="00C047B3" w:rsidRDefault="00DF119F" w:rsidP="00DF119F">
      <w:pPr>
        <w:pStyle w:val="ListParagraph"/>
        <w:numPr>
          <w:ilvl w:val="0"/>
          <w:numId w:val="8"/>
        </w:numPr>
      </w:pPr>
      <w:r w:rsidRPr="00C047B3">
        <w:t xml:space="preserve">No. </w:t>
      </w:r>
      <w:r w:rsidR="0098470C" w:rsidRPr="00C047B3">
        <w:t xml:space="preserve">Although acting up often fulfils a genuine service need, it is not the same as being a Locum Consultant. </w:t>
      </w:r>
    </w:p>
    <w:p w14:paraId="78BE7227" w14:textId="5236DC85" w:rsidR="002075BB" w:rsidRPr="00C047B3" w:rsidRDefault="002075BB" w:rsidP="00DF119F">
      <w:pPr>
        <w:pStyle w:val="ListParagraph"/>
        <w:numPr>
          <w:ilvl w:val="0"/>
          <w:numId w:val="8"/>
        </w:numPr>
      </w:pPr>
      <w:r w:rsidRPr="00C047B3">
        <w:t>When in an ‘acting up’</w:t>
      </w:r>
      <w:r w:rsidR="00C047B3" w:rsidRPr="00C047B3">
        <w:t xml:space="preserve"> position, the term ‘acting up’ rather than ‘locum consultant’ must be used. </w:t>
      </w:r>
    </w:p>
    <w:p w14:paraId="2E47DA53" w14:textId="77777777" w:rsidR="00DA5833" w:rsidRPr="00C0463B" w:rsidRDefault="00DA5833" w:rsidP="00DA5833">
      <w:pPr>
        <w:rPr>
          <w:b/>
          <w:bCs/>
          <w:color w:val="005EB8" w:themeColor="text1"/>
        </w:rPr>
      </w:pPr>
    </w:p>
    <w:p w14:paraId="259E8073" w14:textId="71402253" w:rsidR="006C09A4" w:rsidRPr="00C0463B" w:rsidRDefault="006C09A4" w:rsidP="00DA5833">
      <w:pPr>
        <w:rPr>
          <w:b/>
          <w:bCs/>
          <w:color w:val="005EB8" w:themeColor="text1"/>
        </w:rPr>
      </w:pPr>
      <w:r w:rsidRPr="00C0463B">
        <w:rPr>
          <w:b/>
          <w:bCs/>
          <w:color w:val="005EB8" w:themeColor="text1"/>
        </w:rPr>
        <w:t xml:space="preserve">Can I do locum on </w:t>
      </w:r>
      <w:r w:rsidR="00CE4C6B" w:rsidRPr="00C0463B">
        <w:rPr>
          <w:b/>
          <w:bCs/>
          <w:color w:val="005EB8" w:themeColor="text1"/>
        </w:rPr>
        <w:t>call</w:t>
      </w:r>
      <w:r w:rsidRPr="00C0463B">
        <w:rPr>
          <w:b/>
          <w:bCs/>
          <w:color w:val="005EB8" w:themeColor="text1"/>
        </w:rPr>
        <w:t xml:space="preserve"> shifts </w:t>
      </w:r>
      <w:r w:rsidR="00CE4C6B" w:rsidRPr="00C0463B">
        <w:rPr>
          <w:b/>
          <w:bCs/>
          <w:color w:val="005EB8" w:themeColor="text1"/>
        </w:rPr>
        <w:t>as a registrar whilst AUC?</w:t>
      </w:r>
    </w:p>
    <w:p w14:paraId="30E80D54" w14:textId="77777777" w:rsidR="00CE4C6B" w:rsidRDefault="00CE4C6B" w:rsidP="00DA5833"/>
    <w:p w14:paraId="246A3DBE" w14:textId="29E1D0C4" w:rsidR="00CE4C6B" w:rsidRDefault="00CE4C6B" w:rsidP="00CE4C6B">
      <w:pPr>
        <w:pStyle w:val="ListParagraph"/>
        <w:numPr>
          <w:ilvl w:val="0"/>
          <w:numId w:val="10"/>
        </w:numPr>
      </w:pPr>
      <w:r>
        <w:t xml:space="preserve">Yes, however you must </w:t>
      </w:r>
      <w:r w:rsidR="00C0463B">
        <w:t>declare these on your Form R and adhere to safe working hours/working time regulations.</w:t>
      </w:r>
    </w:p>
    <w:p w14:paraId="693DF660" w14:textId="77777777" w:rsidR="006C09A4" w:rsidRDefault="006C09A4" w:rsidP="00DA5833"/>
    <w:p w14:paraId="52631829" w14:textId="7B8D7A64" w:rsidR="00DA5833" w:rsidRPr="00573C39" w:rsidRDefault="00DA5833" w:rsidP="00DA5833">
      <w:pPr>
        <w:rPr>
          <w:b/>
          <w:bCs/>
          <w:color w:val="005EB8" w:themeColor="text1"/>
        </w:rPr>
      </w:pPr>
      <w:r w:rsidRPr="00573C39">
        <w:rPr>
          <w:b/>
          <w:bCs/>
          <w:color w:val="005EB8" w:themeColor="text1"/>
        </w:rPr>
        <w:t>Am I still eligible for a Period of Grace if I act up?</w:t>
      </w:r>
    </w:p>
    <w:p w14:paraId="1619F1BF" w14:textId="77777777" w:rsidR="00DA5833" w:rsidRDefault="00DA5833" w:rsidP="00DA5833"/>
    <w:p w14:paraId="186AF416" w14:textId="72B5CCA2" w:rsidR="00573C39" w:rsidRDefault="00DA5833" w:rsidP="00DA5833">
      <w:pPr>
        <w:pStyle w:val="ListParagraph"/>
        <w:numPr>
          <w:ilvl w:val="0"/>
          <w:numId w:val="7"/>
        </w:numPr>
      </w:pPr>
      <w:r>
        <w:t>T</w:t>
      </w:r>
      <w:r w:rsidR="002476DB">
        <w:t>o retain access to a period of grace, t</w:t>
      </w:r>
      <w:r>
        <w:t xml:space="preserve">he AUC must be completed prior to your CCT date. </w:t>
      </w:r>
    </w:p>
    <w:p w14:paraId="6CBBE68A" w14:textId="54DCFFEC" w:rsidR="00DA5833" w:rsidRPr="0063344A" w:rsidRDefault="00DE7072" w:rsidP="00573C39">
      <w:pPr>
        <w:pStyle w:val="ListParagraph"/>
        <w:numPr>
          <w:ilvl w:val="0"/>
          <w:numId w:val="7"/>
        </w:numPr>
      </w:pPr>
      <w:r>
        <w:t xml:space="preserve">Postgraduate Doctors who are offered the chance to AUC after their CCT date </w:t>
      </w:r>
      <w:r w:rsidR="00B06EA4">
        <w:t xml:space="preserve">must exit the training programme and </w:t>
      </w:r>
      <w:r w:rsidR="00573C39">
        <w:t>take up the opportunity as a Locum Consultant</w:t>
      </w:r>
      <w:r w:rsidR="00B06EA4">
        <w:t xml:space="preserve">. </w:t>
      </w:r>
    </w:p>
    <w:p w14:paraId="39043BD0" w14:textId="77777777" w:rsidR="00AF5E4A" w:rsidRDefault="00AF5E4A" w:rsidP="00F35DCB"/>
    <w:p w14:paraId="01779ED6" w14:textId="7DDD3C5A" w:rsidR="00933394" w:rsidRPr="001D457E" w:rsidRDefault="001D457E" w:rsidP="00107CF7">
      <w:pPr>
        <w:rPr>
          <w:b/>
          <w:bCs/>
          <w:color w:val="005EB8" w:themeColor="accent4"/>
        </w:rPr>
      </w:pPr>
      <w:r w:rsidRPr="001D457E">
        <w:rPr>
          <w:b/>
          <w:bCs/>
          <w:color w:val="005EB8" w:themeColor="accent4"/>
        </w:rPr>
        <w:t>What are the employment arrangements whilst AUC?</w:t>
      </w:r>
    </w:p>
    <w:p w14:paraId="27C5096B" w14:textId="77777777" w:rsidR="00933394" w:rsidRDefault="00933394" w:rsidP="00933394"/>
    <w:p w14:paraId="0B8AE8BC" w14:textId="103F27EF" w:rsidR="00E3423B" w:rsidRDefault="00E049AA" w:rsidP="00D926E8">
      <w:pPr>
        <w:pStyle w:val="ListParagraph"/>
        <w:numPr>
          <w:ilvl w:val="0"/>
          <w:numId w:val="9"/>
        </w:numPr>
      </w:pPr>
      <w:r>
        <w:t xml:space="preserve">If AUC in the same </w:t>
      </w:r>
      <w:r w:rsidR="002F3AE5">
        <w:t>local education provider (trust)</w:t>
      </w:r>
      <w:r>
        <w:t xml:space="preserve"> as your current placement</w:t>
      </w:r>
      <w:r w:rsidR="007708A7">
        <w:t xml:space="preserve"> on the same rate of pay</w:t>
      </w:r>
      <w:r>
        <w:t xml:space="preserve">, you </w:t>
      </w:r>
      <w:r w:rsidR="00067301">
        <w:t>must</w:t>
      </w:r>
      <w:r>
        <w:t xml:space="preserve"> remain </w:t>
      </w:r>
      <w:r w:rsidR="00AE5645">
        <w:t xml:space="preserve">in your current </w:t>
      </w:r>
      <w:r w:rsidR="00822294">
        <w:t>training</w:t>
      </w:r>
      <w:r w:rsidR="00B00B84">
        <w:t xml:space="preserve"> </w:t>
      </w:r>
      <w:r w:rsidR="00EF7D3D">
        <w:t>post on the rotation</w:t>
      </w:r>
      <w:r w:rsidR="005C03CE">
        <w:t xml:space="preserve"> </w:t>
      </w:r>
      <w:r w:rsidR="00AE5645">
        <w:t xml:space="preserve">and remain </w:t>
      </w:r>
      <w:r>
        <w:t>employed by the lead employer</w:t>
      </w:r>
      <w:r w:rsidR="00FD0186">
        <w:t>.</w:t>
      </w:r>
      <w:r w:rsidR="00D06B4D">
        <w:t xml:space="preserve"> </w:t>
      </w:r>
    </w:p>
    <w:p w14:paraId="50B96BB6" w14:textId="48B7760E" w:rsidR="00C86D80" w:rsidRDefault="007529AF" w:rsidP="003E1722">
      <w:pPr>
        <w:pStyle w:val="ListParagraph"/>
        <w:numPr>
          <w:ilvl w:val="0"/>
          <w:numId w:val="9"/>
        </w:numPr>
      </w:pPr>
      <w:r>
        <w:t>There is no facility</w:t>
      </w:r>
      <w:r w:rsidR="00864C60">
        <w:t xml:space="preserve"> for</w:t>
      </w:r>
      <w:r>
        <w:t xml:space="preserve"> </w:t>
      </w:r>
      <w:r w:rsidR="000D1A08">
        <w:t>additional renumeration</w:t>
      </w:r>
      <w:r w:rsidR="00D926E8">
        <w:t xml:space="preserve"> whilst remaining in programme</w:t>
      </w:r>
      <w:r w:rsidR="00864C60">
        <w:t xml:space="preserve">. </w:t>
      </w:r>
    </w:p>
    <w:p w14:paraId="70D31DB6" w14:textId="02670A0E" w:rsidR="00341631" w:rsidRDefault="004673E1" w:rsidP="008B6858">
      <w:pPr>
        <w:pStyle w:val="ListParagraph"/>
        <w:numPr>
          <w:ilvl w:val="0"/>
          <w:numId w:val="9"/>
        </w:numPr>
      </w:pPr>
      <w:r>
        <w:t xml:space="preserve">If you have agreed </w:t>
      </w:r>
      <w:r w:rsidR="00115CCB">
        <w:t xml:space="preserve">additional renumeration </w:t>
      </w:r>
      <w:r>
        <w:t xml:space="preserve">with the </w:t>
      </w:r>
      <w:r w:rsidR="00263A48">
        <w:t>local education provider</w:t>
      </w:r>
      <w:r>
        <w:t xml:space="preserve"> </w:t>
      </w:r>
      <w:r w:rsidR="005F754F">
        <w:t xml:space="preserve">you must be paid directly </w:t>
      </w:r>
      <w:r w:rsidR="002F2D85">
        <w:t xml:space="preserve">by </w:t>
      </w:r>
      <w:r w:rsidR="00C86D80">
        <w:t>your placement</w:t>
      </w:r>
      <w:r w:rsidR="00263A48">
        <w:t xml:space="preserve"> and not the </w:t>
      </w:r>
      <w:r w:rsidR="005E5D10">
        <w:t>lead employer</w:t>
      </w:r>
      <w:r w:rsidR="00E33A68">
        <w:t xml:space="preserve">, irrespective of whether that </w:t>
      </w:r>
      <w:r w:rsidR="00182263">
        <w:t>is</w:t>
      </w:r>
      <w:r w:rsidR="00E33A68">
        <w:t xml:space="preserve"> the same local education provider as your current STR placement. You </w:t>
      </w:r>
      <w:r w:rsidR="00D63182">
        <w:t xml:space="preserve">should </w:t>
      </w:r>
      <w:r w:rsidR="005F754F">
        <w:t>therefore apply for OOP</w:t>
      </w:r>
      <w:r w:rsidR="00970F2A">
        <w:t>.</w:t>
      </w:r>
      <w:r w:rsidR="008B6858">
        <w:t xml:space="preserve"> </w:t>
      </w:r>
    </w:p>
    <w:p w14:paraId="28D16234" w14:textId="71E5C262" w:rsidR="00E049AA" w:rsidRDefault="00E049AA" w:rsidP="001D457E">
      <w:pPr>
        <w:pStyle w:val="ListParagraph"/>
        <w:numPr>
          <w:ilvl w:val="0"/>
          <w:numId w:val="9"/>
        </w:numPr>
      </w:pPr>
      <w:r>
        <w:t xml:space="preserve">If AUC in another </w:t>
      </w:r>
      <w:r w:rsidR="00467E10">
        <w:t>local education provider</w:t>
      </w:r>
      <w:r w:rsidR="00EE19FE">
        <w:t xml:space="preserve"> t</w:t>
      </w:r>
      <w:r w:rsidR="008B6858">
        <w:t>o</w:t>
      </w:r>
      <w:r w:rsidR="00EE19FE">
        <w:t xml:space="preserve"> your current placement</w:t>
      </w:r>
      <w:r>
        <w:t xml:space="preserve">, you will be employed directly by them </w:t>
      </w:r>
      <w:r w:rsidR="001D4914">
        <w:t>and should apply for OOP</w:t>
      </w:r>
      <w:r w:rsidR="00970F2A">
        <w:t xml:space="preserve">. </w:t>
      </w:r>
      <w:r w:rsidR="00BE63DF">
        <w:t xml:space="preserve">The </w:t>
      </w:r>
      <w:r w:rsidR="00DC329E">
        <w:t xml:space="preserve">local education provider </w:t>
      </w:r>
      <w:r w:rsidR="00BE63DF">
        <w:t>pays for the acting up and decide what to pay</w:t>
      </w:r>
      <w:r w:rsidR="00467E10">
        <w:t>, so additional renumeration is possible if agreed locally</w:t>
      </w:r>
      <w:r w:rsidR="00BE63DF">
        <w:t xml:space="preserve">. </w:t>
      </w:r>
      <w:r w:rsidR="00D50BB7">
        <w:t>The term ‘Locum Consultant’ must not be used for the arrangement. The nomenclature can be agreed locally</w:t>
      </w:r>
      <w:r w:rsidR="008413A0">
        <w:t xml:space="preserve">, e.g. Acting Consultant. </w:t>
      </w:r>
    </w:p>
    <w:p w14:paraId="16C90837" w14:textId="6F594DBD" w:rsidR="0064437B" w:rsidRPr="0064437B" w:rsidRDefault="0064437B" w:rsidP="0064437B">
      <w:pPr>
        <w:pStyle w:val="ListParagraph"/>
        <w:numPr>
          <w:ilvl w:val="0"/>
          <w:numId w:val="9"/>
        </w:numPr>
        <w:rPr>
          <w:rFonts w:cs="Arial"/>
        </w:rPr>
      </w:pPr>
      <w:r w:rsidRPr="0064437B">
        <w:rPr>
          <w:rFonts w:cs="Arial"/>
        </w:rPr>
        <w:t xml:space="preserve">Acting up should either be on </w:t>
      </w:r>
      <w:r w:rsidR="00C43AAB">
        <w:rPr>
          <w:rFonts w:cs="Arial"/>
        </w:rPr>
        <w:t xml:space="preserve">your </w:t>
      </w:r>
      <w:r w:rsidRPr="0064437B">
        <w:rPr>
          <w:rFonts w:cs="Arial"/>
        </w:rPr>
        <w:t xml:space="preserve">current pay and contract paid by the lead employer OR the </w:t>
      </w:r>
      <w:r w:rsidR="002F3AE5">
        <w:rPr>
          <w:rFonts w:cs="Arial"/>
        </w:rPr>
        <w:t xml:space="preserve">local education provider </w:t>
      </w:r>
      <w:r w:rsidRPr="0064437B">
        <w:rPr>
          <w:rFonts w:cs="Arial"/>
        </w:rPr>
        <w:t>needs to fund the whole acting up.  It cannot be a hybrid of both.</w:t>
      </w:r>
    </w:p>
    <w:p w14:paraId="7402D8B7" w14:textId="5CFAD6A1" w:rsidR="001D4914" w:rsidRDefault="001D4914" w:rsidP="001D457E">
      <w:pPr>
        <w:pStyle w:val="ListParagraph"/>
        <w:numPr>
          <w:ilvl w:val="0"/>
          <w:numId w:val="9"/>
        </w:numPr>
      </w:pPr>
      <w:r>
        <w:t xml:space="preserve">It is important to clarify who </w:t>
      </w:r>
      <w:r w:rsidR="00CB38AC">
        <w:t>will be funding your AUC to avoid any payment issues.</w:t>
      </w:r>
    </w:p>
    <w:p w14:paraId="27F71A78" w14:textId="1DF452FF" w:rsidR="00D926E8" w:rsidRDefault="00CB38AC" w:rsidP="00933394">
      <w:pPr>
        <w:pStyle w:val="ListParagraph"/>
        <w:numPr>
          <w:ilvl w:val="0"/>
          <w:numId w:val="9"/>
        </w:numPr>
      </w:pPr>
      <w:r>
        <w:t xml:space="preserve">Please contact </w:t>
      </w:r>
      <w:hyperlink r:id="rId13" w:history="1">
        <w:r w:rsidR="0041323A" w:rsidRPr="00167C89">
          <w:rPr>
            <w:rStyle w:val="Hyperlink"/>
          </w:rPr>
          <w:t>lead.employer@sthk.nhs.uk</w:t>
        </w:r>
      </w:hyperlink>
      <w:r w:rsidR="0041323A">
        <w:t xml:space="preserve"> for any queries.</w:t>
      </w:r>
    </w:p>
    <w:p w14:paraId="7BDAEA2D" w14:textId="77777777" w:rsidR="007A3CF1" w:rsidRDefault="007A3CF1" w:rsidP="00DA527C"/>
    <w:p w14:paraId="529E98F9" w14:textId="016CE649" w:rsidR="007A3CF1" w:rsidRPr="00995C63" w:rsidRDefault="007A3CF1" w:rsidP="00DA527C">
      <w:pPr>
        <w:rPr>
          <w:b/>
          <w:bCs/>
          <w:color w:val="005EB8" w:themeColor="text1"/>
        </w:rPr>
      </w:pPr>
      <w:r w:rsidRPr="00995C63">
        <w:rPr>
          <w:b/>
          <w:bCs/>
          <w:color w:val="005EB8" w:themeColor="text1"/>
        </w:rPr>
        <w:t>I am on a tier 2 visa, what are the implications</w:t>
      </w:r>
      <w:r w:rsidR="00995C63" w:rsidRPr="00995C63">
        <w:rPr>
          <w:b/>
          <w:bCs/>
          <w:color w:val="005EB8" w:themeColor="text1"/>
        </w:rPr>
        <w:t xml:space="preserve"> of AUC?</w:t>
      </w:r>
    </w:p>
    <w:p w14:paraId="2FAA2644" w14:textId="77777777" w:rsidR="00995C63" w:rsidRDefault="00995C63" w:rsidP="00DA527C"/>
    <w:p w14:paraId="55F4FF2C" w14:textId="26291102" w:rsidR="00E30903" w:rsidRDefault="00995C63" w:rsidP="00F60933">
      <w:pPr>
        <w:pStyle w:val="ListParagraph"/>
        <w:numPr>
          <w:ilvl w:val="0"/>
          <w:numId w:val="11"/>
        </w:numPr>
        <w:rPr>
          <w:rFonts w:eastAsia="Times New Roman" w:cs="Arial"/>
        </w:rPr>
      </w:pPr>
      <w:r w:rsidRPr="00D00BF1">
        <w:rPr>
          <w:rFonts w:eastAsia="Times New Roman" w:cs="Arial"/>
        </w:rPr>
        <w:t>Please refer to:</w:t>
      </w:r>
    </w:p>
    <w:p w14:paraId="21CFFC76" w14:textId="1277D4F8" w:rsidR="00995C63" w:rsidRPr="008E3837" w:rsidRDefault="00557A33" w:rsidP="008E3837">
      <w:pPr>
        <w:pStyle w:val="ListParagraph"/>
        <w:rPr>
          <w:rFonts w:eastAsia="Times New Roman" w:cs="Arial"/>
        </w:rPr>
      </w:pPr>
      <w:hyperlink r:id="rId14" w:history="1">
        <w:r w:rsidRPr="001541E1">
          <w:rPr>
            <w:rStyle w:val="Hyperlink"/>
          </w:rPr>
          <w:t>https://medical.hee.nhs.uk/medical-training-recruitment/medical-specialty-training/overseas-applicants</w:t>
        </w:r>
      </w:hyperlink>
    </w:p>
    <w:p w14:paraId="40F011B2" w14:textId="43150AD1" w:rsidR="00995C63" w:rsidRPr="00681051" w:rsidRDefault="00995C63" w:rsidP="00D00BF1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r w:rsidRPr="00D00BF1">
        <w:rPr>
          <w:rFonts w:cs="Arial"/>
        </w:rPr>
        <w:t xml:space="preserve">You must inform the National HEE Overseas Sponsorship Team of any change in circumstances by completing a </w:t>
      </w:r>
      <w:hyperlink r:id="rId15" w:history="1">
        <w:r w:rsidRPr="00D00BF1">
          <w:rPr>
            <w:rStyle w:val="Hyperlink"/>
            <w:rFonts w:cs="Arial"/>
          </w:rPr>
          <w:t>Reporting form</w:t>
        </w:r>
      </w:hyperlink>
      <w:r w:rsidRPr="00D00BF1">
        <w:rPr>
          <w:rFonts w:cs="Arial"/>
        </w:rPr>
        <w:t xml:space="preserve"> or emailing </w:t>
      </w:r>
      <w:hyperlink r:id="rId16" w:history="1">
        <w:r w:rsidRPr="00D00BF1">
          <w:rPr>
            <w:rStyle w:val="Hyperlink"/>
            <w:rFonts w:cs="Arial"/>
          </w:rPr>
          <w:t>sponsorship@hee.nhs.uk</w:t>
        </w:r>
      </w:hyperlink>
    </w:p>
    <w:p w14:paraId="6B9B96DC" w14:textId="77777777" w:rsidR="00120CE6" w:rsidRDefault="00120CE6" w:rsidP="00681051">
      <w:pPr>
        <w:rPr>
          <w:b/>
          <w:bCs/>
          <w:color w:val="0071CE" w:themeColor="text2"/>
        </w:rPr>
      </w:pPr>
    </w:p>
    <w:sectPr w:rsidR="00120CE6" w:rsidSect="00271A5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31DF" w14:textId="77777777" w:rsidR="0002280C" w:rsidRDefault="0002280C" w:rsidP="00AC72FD">
      <w:r>
        <w:separator/>
      </w:r>
    </w:p>
  </w:endnote>
  <w:endnote w:type="continuationSeparator" w:id="0">
    <w:p w14:paraId="6F8AC6F2" w14:textId="77777777" w:rsidR="0002280C" w:rsidRDefault="0002280C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﷽﷽﷽﷽﷽﷽ꔡ耉ĝ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dy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49E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9011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3C25A8D4" w14:textId="77777777" w:rsidR="00ED2809" w:rsidRDefault="00ED2809" w:rsidP="007F2CB8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9BE4" w14:textId="453E91D3" w:rsidR="00F6705A" w:rsidRDefault="00F670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C6D129D" wp14:editId="51B55A0C">
          <wp:simplePos x="0" y="0"/>
          <wp:positionH relativeFrom="column">
            <wp:posOffset>-537882</wp:posOffset>
          </wp:positionH>
          <wp:positionV relativeFrom="paragraph">
            <wp:posOffset>-365760</wp:posOffset>
          </wp:positionV>
          <wp:extent cx="7560000" cy="902189"/>
          <wp:effectExtent l="0" t="0" r="0" b="0"/>
          <wp:wrapNone/>
          <wp:docPr id="4" name="Picture 4" descr="www.hee.nhs.uk&#10;We work with partners to plan, recruit, educate and train the health workfor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www.hee.nhs.uk&#10;We work with partners to plan, recruit, educate and train the health workforc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2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DA14" w14:textId="77777777" w:rsidR="0002280C" w:rsidRDefault="0002280C" w:rsidP="00AC72FD">
      <w:r>
        <w:separator/>
      </w:r>
    </w:p>
  </w:footnote>
  <w:footnote w:type="continuationSeparator" w:id="0">
    <w:p w14:paraId="1312E9D2" w14:textId="77777777" w:rsidR="0002280C" w:rsidRDefault="0002280C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726F" w14:textId="77777777" w:rsidR="00F824DB" w:rsidRDefault="00F82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E1D7" w14:textId="032FF20D" w:rsidR="00ED2809" w:rsidRPr="00AC72FD" w:rsidRDefault="00F35DCB" w:rsidP="00964AF4">
    <w:pPr>
      <w:pStyle w:val="Heading2"/>
      <w:spacing w:after="400"/>
      <w:jc w:val="right"/>
    </w:pPr>
    <w:r>
      <w:t>AUC guidance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DCD3" w14:textId="3B6E8D26" w:rsidR="00871E52" w:rsidRDefault="000000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54015" wp14:editId="67CE264D">
          <wp:simplePos x="0" y="0"/>
          <wp:positionH relativeFrom="column">
            <wp:posOffset>3231243</wp:posOffset>
          </wp:positionH>
          <wp:positionV relativeFrom="paragraph">
            <wp:posOffset>-360045</wp:posOffset>
          </wp:positionV>
          <wp:extent cx="3784600" cy="1435100"/>
          <wp:effectExtent l="0" t="0" r="0" b="0"/>
          <wp:wrapNone/>
          <wp:docPr id="8" name="Picture 8" descr="Health Education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Health Education Engla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46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5041"/>
    <w:multiLevelType w:val="hybridMultilevel"/>
    <w:tmpl w:val="10527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1E2C"/>
    <w:multiLevelType w:val="hybridMultilevel"/>
    <w:tmpl w:val="844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5D4"/>
    <w:multiLevelType w:val="hybridMultilevel"/>
    <w:tmpl w:val="241CC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641C"/>
    <w:multiLevelType w:val="hybridMultilevel"/>
    <w:tmpl w:val="9D7C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C14B3"/>
    <w:multiLevelType w:val="hybridMultilevel"/>
    <w:tmpl w:val="7F9E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64D77"/>
    <w:multiLevelType w:val="hybridMultilevel"/>
    <w:tmpl w:val="1AFC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68CE"/>
    <w:multiLevelType w:val="hybridMultilevel"/>
    <w:tmpl w:val="7D60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A4A69"/>
    <w:multiLevelType w:val="hybridMultilevel"/>
    <w:tmpl w:val="E166A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119CE"/>
    <w:multiLevelType w:val="hybridMultilevel"/>
    <w:tmpl w:val="55C2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B15E1"/>
    <w:multiLevelType w:val="hybridMultilevel"/>
    <w:tmpl w:val="443E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26973"/>
    <w:multiLevelType w:val="multilevel"/>
    <w:tmpl w:val="5D9A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349266">
    <w:abstractNumId w:val="10"/>
  </w:num>
  <w:num w:numId="2" w16cid:durableId="1873151111">
    <w:abstractNumId w:val="6"/>
  </w:num>
  <w:num w:numId="3" w16cid:durableId="1162623543">
    <w:abstractNumId w:val="0"/>
  </w:num>
  <w:num w:numId="4" w16cid:durableId="220293671">
    <w:abstractNumId w:val="4"/>
  </w:num>
  <w:num w:numId="5" w16cid:durableId="898785291">
    <w:abstractNumId w:val="5"/>
  </w:num>
  <w:num w:numId="6" w16cid:durableId="1500198682">
    <w:abstractNumId w:val="1"/>
  </w:num>
  <w:num w:numId="7" w16cid:durableId="145438533">
    <w:abstractNumId w:val="2"/>
  </w:num>
  <w:num w:numId="8" w16cid:durableId="1941718516">
    <w:abstractNumId w:val="7"/>
  </w:num>
  <w:num w:numId="9" w16cid:durableId="1051688545">
    <w:abstractNumId w:val="3"/>
  </w:num>
  <w:num w:numId="10" w16cid:durableId="85545571">
    <w:abstractNumId w:val="8"/>
  </w:num>
  <w:num w:numId="11" w16cid:durableId="1975133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9"/>
    <w:rsid w:val="000000C9"/>
    <w:rsid w:val="0002007D"/>
    <w:rsid w:val="0002280C"/>
    <w:rsid w:val="00023546"/>
    <w:rsid w:val="000364A7"/>
    <w:rsid w:val="000518BF"/>
    <w:rsid w:val="00067301"/>
    <w:rsid w:val="0008014D"/>
    <w:rsid w:val="000A083E"/>
    <w:rsid w:val="000A2E69"/>
    <w:rsid w:val="000C7C19"/>
    <w:rsid w:val="000D1A08"/>
    <w:rsid w:val="00101FB9"/>
    <w:rsid w:val="00107CF7"/>
    <w:rsid w:val="00110555"/>
    <w:rsid w:val="00115CCB"/>
    <w:rsid w:val="00120CE6"/>
    <w:rsid w:val="001263B4"/>
    <w:rsid w:val="00135A54"/>
    <w:rsid w:val="00156195"/>
    <w:rsid w:val="00156758"/>
    <w:rsid w:val="00182171"/>
    <w:rsid w:val="00182263"/>
    <w:rsid w:val="00184133"/>
    <w:rsid w:val="001A3B4D"/>
    <w:rsid w:val="001A70C0"/>
    <w:rsid w:val="001B45BF"/>
    <w:rsid w:val="001B737F"/>
    <w:rsid w:val="001C4EED"/>
    <w:rsid w:val="001D37CA"/>
    <w:rsid w:val="001D457E"/>
    <w:rsid w:val="001D4914"/>
    <w:rsid w:val="001D4F3A"/>
    <w:rsid w:val="001F54D9"/>
    <w:rsid w:val="001F7993"/>
    <w:rsid w:val="002075BB"/>
    <w:rsid w:val="00214162"/>
    <w:rsid w:val="0023405B"/>
    <w:rsid w:val="0024671F"/>
    <w:rsid w:val="00246F75"/>
    <w:rsid w:val="002476DB"/>
    <w:rsid w:val="0025038D"/>
    <w:rsid w:val="00263A48"/>
    <w:rsid w:val="00271A5C"/>
    <w:rsid w:val="002D41D0"/>
    <w:rsid w:val="002D6889"/>
    <w:rsid w:val="002E49BA"/>
    <w:rsid w:val="002F2D85"/>
    <w:rsid w:val="002F3AE5"/>
    <w:rsid w:val="00317F85"/>
    <w:rsid w:val="003315F4"/>
    <w:rsid w:val="00341631"/>
    <w:rsid w:val="003606B9"/>
    <w:rsid w:val="003640E3"/>
    <w:rsid w:val="00366C2F"/>
    <w:rsid w:val="0038048C"/>
    <w:rsid w:val="00396051"/>
    <w:rsid w:val="003B08BE"/>
    <w:rsid w:val="003D5639"/>
    <w:rsid w:val="003E1722"/>
    <w:rsid w:val="0041323A"/>
    <w:rsid w:val="00424ED8"/>
    <w:rsid w:val="0042708F"/>
    <w:rsid w:val="004303E9"/>
    <w:rsid w:val="004673E1"/>
    <w:rsid w:val="00467E10"/>
    <w:rsid w:val="00476803"/>
    <w:rsid w:val="00485BFB"/>
    <w:rsid w:val="00490A6E"/>
    <w:rsid w:val="00492F23"/>
    <w:rsid w:val="00496A01"/>
    <w:rsid w:val="004A0D74"/>
    <w:rsid w:val="004A3A04"/>
    <w:rsid w:val="004B374B"/>
    <w:rsid w:val="004B5410"/>
    <w:rsid w:val="004F1EB6"/>
    <w:rsid w:val="004F47A4"/>
    <w:rsid w:val="00511668"/>
    <w:rsid w:val="005140E2"/>
    <w:rsid w:val="005429C4"/>
    <w:rsid w:val="0054783E"/>
    <w:rsid w:val="00557A33"/>
    <w:rsid w:val="00573C39"/>
    <w:rsid w:val="005B218F"/>
    <w:rsid w:val="005C03CE"/>
    <w:rsid w:val="005C7973"/>
    <w:rsid w:val="005C7ECA"/>
    <w:rsid w:val="005E5D10"/>
    <w:rsid w:val="005F754F"/>
    <w:rsid w:val="0063344A"/>
    <w:rsid w:val="0064437B"/>
    <w:rsid w:val="00651D6F"/>
    <w:rsid w:val="00681051"/>
    <w:rsid w:val="00683AD2"/>
    <w:rsid w:val="00692254"/>
    <w:rsid w:val="006C09A4"/>
    <w:rsid w:val="006D25A2"/>
    <w:rsid w:val="006F05C2"/>
    <w:rsid w:val="00743E6F"/>
    <w:rsid w:val="007529AF"/>
    <w:rsid w:val="007708A7"/>
    <w:rsid w:val="00782D6A"/>
    <w:rsid w:val="007A3CF1"/>
    <w:rsid w:val="007E65D8"/>
    <w:rsid w:val="007F2CB8"/>
    <w:rsid w:val="007F781C"/>
    <w:rsid w:val="00812B71"/>
    <w:rsid w:val="00822294"/>
    <w:rsid w:val="00822CF1"/>
    <w:rsid w:val="00827DD0"/>
    <w:rsid w:val="008304CF"/>
    <w:rsid w:val="00832F64"/>
    <w:rsid w:val="008413A0"/>
    <w:rsid w:val="00861C74"/>
    <w:rsid w:val="00864C60"/>
    <w:rsid w:val="00865D0F"/>
    <w:rsid w:val="00871E52"/>
    <w:rsid w:val="00897730"/>
    <w:rsid w:val="008B0C2E"/>
    <w:rsid w:val="008B5C2D"/>
    <w:rsid w:val="008B6858"/>
    <w:rsid w:val="008D4517"/>
    <w:rsid w:val="008E3837"/>
    <w:rsid w:val="008F1A3E"/>
    <w:rsid w:val="008F765A"/>
    <w:rsid w:val="00906015"/>
    <w:rsid w:val="0091039C"/>
    <w:rsid w:val="009128DC"/>
    <w:rsid w:val="00933394"/>
    <w:rsid w:val="0095599C"/>
    <w:rsid w:val="009648C3"/>
    <w:rsid w:val="00964AF4"/>
    <w:rsid w:val="00970F2A"/>
    <w:rsid w:val="00981472"/>
    <w:rsid w:val="0098470C"/>
    <w:rsid w:val="00995C63"/>
    <w:rsid w:val="009A65B5"/>
    <w:rsid w:val="009A6872"/>
    <w:rsid w:val="009C5908"/>
    <w:rsid w:val="009D32F5"/>
    <w:rsid w:val="009D4DA7"/>
    <w:rsid w:val="009E2641"/>
    <w:rsid w:val="00A030ED"/>
    <w:rsid w:val="00A041F3"/>
    <w:rsid w:val="00A26306"/>
    <w:rsid w:val="00A41F17"/>
    <w:rsid w:val="00A652DC"/>
    <w:rsid w:val="00A76867"/>
    <w:rsid w:val="00AA400D"/>
    <w:rsid w:val="00AB6CFE"/>
    <w:rsid w:val="00AC3134"/>
    <w:rsid w:val="00AC72FD"/>
    <w:rsid w:val="00AD3004"/>
    <w:rsid w:val="00AE30B4"/>
    <w:rsid w:val="00AE5645"/>
    <w:rsid w:val="00AF5E4A"/>
    <w:rsid w:val="00B00B84"/>
    <w:rsid w:val="00B02348"/>
    <w:rsid w:val="00B06EA4"/>
    <w:rsid w:val="00B320EE"/>
    <w:rsid w:val="00B44DC5"/>
    <w:rsid w:val="00BB2C27"/>
    <w:rsid w:val="00BC3EE5"/>
    <w:rsid w:val="00BE5F3D"/>
    <w:rsid w:val="00BE63DF"/>
    <w:rsid w:val="00C0463B"/>
    <w:rsid w:val="00C047B3"/>
    <w:rsid w:val="00C1343B"/>
    <w:rsid w:val="00C42F53"/>
    <w:rsid w:val="00C43AAB"/>
    <w:rsid w:val="00C86D80"/>
    <w:rsid w:val="00CA26F5"/>
    <w:rsid w:val="00CA7EEA"/>
    <w:rsid w:val="00CB38AC"/>
    <w:rsid w:val="00CE4019"/>
    <w:rsid w:val="00CE4C6B"/>
    <w:rsid w:val="00CF3B93"/>
    <w:rsid w:val="00CF6A52"/>
    <w:rsid w:val="00D00BF1"/>
    <w:rsid w:val="00D06B4D"/>
    <w:rsid w:val="00D40C54"/>
    <w:rsid w:val="00D50BB7"/>
    <w:rsid w:val="00D60A15"/>
    <w:rsid w:val="00D61190"/>
    <w:rsid w:val="00D63182"/>
    <w:rsid w:val="00D6660A"/>
    <w:rsid w:val="00D743DB"/>
    <w:rsid w:val="00D926E8"/>
    <w:rsid w:val="00DA527C"/>
    <w:rsid w:val="00DA5833"/>
    <w:rsid w:val="00DC329E"/>
    <w:rsid w:val="00DD6B44"/>
    <w:rsid w:val="00DE7072"/>
    <w:rsid w:val="00DF119F"/>
    <w:rsid w:val="00DF6A80"/>
    <w:rsid w:val="00E049AA"/>
    <w:rsid w:val="00E17136"/>
    <w:rsid w:val="00E30903"/>
    <w:rsid w:val="00E33A68"/>
    <w:rsid w:val="00E3423B"/>
    <w:rsid w:val="00E500EE"/>
    <w:rsid w:val="00E56AD4"/>
    <w:rsid w:val="00E6115A"/>
    <w:rsid w:val="00E64981"/>
    <w:rsid w:val="00E80F54"/>
    <w:rsid w:val="00EA29F1"/>
    <w:rsid w:val="00EA3FAA"/>
    <w:rsid w:val="00ED2809"/>
    <w:rsid w:val="00ED46E1"/>
    <w:rsid w:val="00EE19FE"/>
    <w:rsid w:val="00EF7D3D"/>
    <w:rsid w:val="00F35DCB"/>
    <w:rsid w:val="00F37ECC"/>
    <w:rsid w:val="00F44625"/>
    <w:rsid w:val="00F5593D"/>
    <w:rsid w:val="00F60933"/>
    <w:rsid w:val="00F6705A"/>
    <w:rsid w:val="00F824DB"/>
    <w:rsid w:val="00FA1C87"/>
    <w:rsid w:val="00FB0FE2"/>
    <w:rsid w:val="00FC4AB1"/>
    <w:rsid w:val="00FC54F1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8744D"/>
  <w14:defaultImageDpi w14:val="330"/>
  <w15:docId w15:val="{479929C5-B87C-4EC5-A8B0-52D0904C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paragraph" w:styleId="ListParagraph">
    <w:name w:val="List Paragraph"/>
    <w:basedOn w:val="Normal"/>
    <w:uiPriority w:val="34"/>
    <w:qFormat/>
    <w:rsid w:val="00F35DCB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13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2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6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8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872"/>
    <w:rPr>
      <w:b/>
      <w:bCs/>
      <w:sz w:val="20"/>
      <w:szCs w:val="20"/>
    </w:rPr>
  </w:style>
  <w:style w:type="paragraph" w:customStyle="1" w:styleId="pf0">
    <w:name w:val="pf0"/>
    <w:basedOn w:val="Normal"/>
    <w:rsid w:val="003416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341631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0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ad.employer@sthk.nhs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nwpgmd.nhs.uk/time-out-program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ponsorship@hee.nhs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med.org.uk/gold-guide/gold-guide-9th-editio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r/v1AdS29Pd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al.hee.nhs.uk/medical-training-recruitment/medical-specialty-training/overseas-applicants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AA16D7F6BF4C9278B3B09752852E" ma:contentTypeVersion="13" ma:contentTypeDescription="Create a new document." ma:contentTypeScope="" ma:versionID="03b49cb24b0fc71dbe89dda05dc480f4">
  <xsd:schema xmlns:xsd="http://www.w3.org/2001/XMLSchema" xmlns:xs="http://www.w3.org/2001/XMLSchema" xmlns:p="http://schemas.microsoft.com/office/2006/metadata/properties" xmlns:ns1="http://schemas.microsoft.com/sharepoint/v3" xmlns:ns2="a7a9a851-fe97-4414-8c0a-a18559e981ce" xmlns:ns3="c4af3042-8dca-4b54-b2dc-79e9bf5b2041" targetNamespace="http://schemas.microsoft.com/office/2006/metadata/properties" ma:root="true" ma:fieldsID="63ac891fc3ed21b7115934c0b7027b5a" ns1:_="" ns2:_="" ns3:_="">
    <xsd:import namespace="http://schemas.microsoft.com/sharepoint/v3"/>
    <xsd:import namespace="a7a9a851-fe97-4414-8c0a-a18559e981ce"/>
    <xsd:import namespace="c4af3042-8dca-4b54-b2dc-79e9bf5b2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9a851-fe97-4414-8c0a-a18559e9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3042-8dca-4b54-b2dc-79e9bf5b20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9978f8-7ce1-472b-b0c6-bde48ac8cf4c}" ma:internalName="TaxCatchAll" ma:showField="CatchAllData" ma:web="c4af3042-8dca-4b54-b2dc-79e9bf5b2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af3042-8dca-4b54-b2dc-79e9bf5b2041" xsi:nil="true"/>
    <lcf76f155ced4ddcb4097134ff3c332f xmlns="a7a9a851-fe97-4414-8c0a-a18559e98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AF3C5-12D2-4959-A9A5-F78D39BDDABC}"/>
</file>

<file path=customXml/itemProps4.xml><?xml version="1.0" encoding="utf-8"?>
<ds:datastoreItem xmlns:ds="http://schemas.openxmlformats.org/officeDocument/2006/customXml" ds:itemID="{13DA8DFD-A23C-42FE-B2B5-51A3CDB168E1}">
  <ds:schemaRefs>
    <ds:schemaRef ds:uri="a7a9a851-fe97-4414-8c0a-a18559e981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4af3042-8dca-4b54-b2dc-79e9bf5b204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</Words>
  <Characters>5618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accessibility document</vt:lpstr>
    </vt:vector>
  </TitlesOfParts>
  <Company>Health Education England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subject/>
  <dc:creator>Microsoft Office User</dc:creator>
  <cp:keywords/>
  <cp:lastModifiedBy>Claire McGovern</cp:lastModifiedBy>
  <cp:revision>6</cp:revision>
  <cp:lastPrinted>2021-01-11T19:40:00Z</cp:lastPrinted>
  <dcterms:created xsi:type="dcterms:W3CDTF">2023-01-13T00:17:00Z</dcterms:created>
  <dcterms:modified xsi:type="dcterms:W3CDTF">2025-08-22T14:47:00Z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0x010100537FAA16D7F6BF4C9278B3B09752852E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9900</vt:r8>
  </property>
  <property fmtid="{D5CDD505-2E9C-101B-9397-08002B2CF9AE}" pid="12" name="docLang">
    <vt:lpwstr>en</vt:lpwstr>
  </property>
</Properties>
</file>